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A598CE">
      <w:pPr>
        <w:keepNext w:val="0"/>
        <w:keepLines w:val="0"/>
        <w:pageBreakBefore w:val="0"/>
        <w:kinsoku/>
        <w:wordWrap/>
        <w:overflowPunct/>
        <w:topLinePunct w:val="0"/>
        <w:autoSpaceDE/>
        <w:autoSpaceDN/>
        <w:bidi w:val="0"/>
        <w:adjustRightInd/>
        <w:snapToGrid/>
        <w:spacing w:beforeAutospacing="0" w:afterAutospacing="0" w:line="560" w:lineRule="exact"/>
        <w:jc w:val="center"/>
        <w:textAlignment w:val="auto"/>
        <w:rPr>
          <w:rFonts w:hint="eastAsia" w:ascii="方正小标宋简体" w:hAnsi="宋体" w:eastAsia="方正小标宋简体" w:cs="宋体"/>
          <w:b/>
          <w:bCs/>
          <w:color w:val="000000" w:themeColor="text1"/>
          <w:sz w:val="44"/>
          <w:szCs w:val="44"/>
          <w14:textFill>
            <w14:solidFill>
              <w14:schemeClr w14:val="tx1"/>
            </w14:solidFill>
          </w14:textFill>
        </w:rPr>
      </w:pPr>
      <w:r>
        <w:rPr>
          <w:rFonts w:hint="eastAsia" w:ascii="方正小标宋简体" w:hAnsi="宋体" w:eastAsia="方正小标宋简体" w:cs="宋体"/>
          <w:b/>
          <w:bCs/>
          <w:color w:val="000000" w:themeColor="text1"/>
          <w:sz w:val="40"/>
          <w:szCs w:val="40"/>
          <w14:textFill>
            <w14:solidFill>
              <w14:schemeClr w14:val="tx1"/>
            </w14:solidFill>
          </w14:textFill>
        </w:rPr>
        <w:t>海</w:t>
      </w:r>
      <w:r>
        <w:rPr>
          <w:rFonts w:hint="eastAsia" w:ascii="方正小标宋简体" w:hAnsi="宋体" w:eastAsia="方正小标宋简体" w:cs="宋体"/>
          <w:b/>
          <w:bCs/>
          <w:color w:val="000000" w:themeColor="text1"/>
          <w:sz w:val="44"/>
          <w:szCs w:val="44"/>
          <w14:textFill>
            <w14:solidFill>
              <w14:schemeClr w14:val="tx1"/>
            </w14:solidFill>
          </w14:textFill>
        </w:rPr>
        <w:t>南热带海洋学院</w:t>
      </w:r>
    </w:p>
    <w:p w14:paraId="70F257D1">
      <w:pPr>
        <w:keepNext w:val="0"/>
        <w:keepLines w:val="0"/>
        <w:pageBreakBefore w:val="0"/>
        <w:kinsoku/>
        <w:wordWrap/>
        <w:overflowPunct/>
        <w:topLinePunct w:val="0"/>
        <w:autoSpaceDE/>
        <w:autoSpaceDN/>
        <w:bidi w:val="0"/>
        <w:adjustRightInd/>
        <w:snapToGrid/>
        <w:spacing w:beforeAutospacing="0" w:afterAutospacing="0" w:line="560" w:lineRule="exact"/>
        <w:jc w:val="center"/>
        <w:textAlignment w:val="auto"/>
        <w:rPr>
          <w:rFonts w:hint="eastAsia" w:ascii="方正小标宋简体" w:hAnsi="宋体" w:eastAsia="方正小标宋简体" w:cs="宋体"/>
          <w:b/>
          <w:bCs/>
          <w:color w:val="000000" w:themeColor="text1"/>
          <w:sz w:val="44"/>
          <w:szCs w:val="44"/>
          <w:lang w:eastAsia="zh-CN"/>
          <w14:textFill>
            <w14:solidFill>
              <w14:schemeClr w14:val="tx1"/>
            </w14:solidFill>
          </w14:textFill>
        </w:rPr>
      </w:pPr>
      <w:r>
        <w:rPr>
          <w:rFonts w:hint="eastAsia" w:ascii="方正小标宋简体" w:hAnsi="宋体" w:eastAsia="方正小标宋简体" w:cs="宋体"/>
          <w:b/>
          <w:bCs/>
          <w:color w:val="000000" w:themeColor="text1"/>
          <w:sz w:val="44"/>
          <w:szCs w:val="44"/>
          <w14:textFill>
            <w14:solidFill>
              <w14:schemeClr w14:val="tx1"/>
            </w14:solidFill>
          </w14:textFill>
        </w:rPr>
        <w:t>关于支持地方高校改革发展项目资金使用情况的</w:t>
      </w:r>
      <w:r>
        <w:rPr>
          <w:rFonts w:hint="eastAsia" w:ascii="方正小标宋简体" w:hAnsi="宋体" w:eastAsia="方正小标宋简体" w:cs="宋体"/>
          <w:b/>
          <w:bCs/>
          <w:color w:val="000000" w:themeColor="text1"/>
          <w:sz w:val="44"/>
          <w:szCs w:val="44"/>
          <w:lang w:val="en-US" w:eastAsia="zh-CN"/>
          <w14:textFill>
            <w14:solidFill>
              <w14:schemeClr w14:val="tx1"/>
            </w14:solidFill>
          </w14:textFill>
        </w:rPr>
        <w:t>报告</w:t>
      </w:r>
    </w:p>
    <w:p w14:paraId="3DCFBBAF">
      <w:pPr>
        <w:keepNext w:val="0"/>
        <w:keepLines w:val="0"/>
        <w:pageBreakBefore w:val="0"/>
        <w:kinsoku/>
        <w:wordWrap/>
        <w:overflowPunct/>
        <w:topLinePunct w:val="0"/>
        <w:autoSpaceDE/>
        <w:autoSpaceDN/>
        <w:bidi w:val="0"/>
        <w:adjustRightInd/>
        <w:snapToGrid/>
        <w:spacing w:beforeAutospacing="0" w:afterAutospacing="0" w:line="560" w:lineRule="exact"/>
        <w:jc w:val="center"/>
        <w:textAlignment w:val="auto"/>
        <w:rPr>
          <w:rFonts w:hint="eastAsia" w:ascii="方正小标宋简体" w:hAnsi="宋体" w:eastAsia="方正小标宋简体" w:cs="宋体"/>
          <w:b/>
          <w:bCs/>
          <w:color w:val="000000" w:themeColor="text1"/>
          <w:sz w:val="44"/>
          <w:szCs w:val="44"/>
          <w14:textFill>
            <w14:solidFill>
              <w14:schemeClr w14:val="tx1"/>
            </w14:solidFill>
          </w14:textFill>
        </w:rPr>
      </w:pPr>
    </w:p>
    <w:p w14:paraId="03CDA1E5">
      <w:pPr>
        <w:keepNext w:val="0"/>
        <w:keepLines w:val="0"/>
        <w:pageBreakBefore w:val="0"/>
        <w:kinsoku/>
        <w:wordWrap/>
        <w:overflowPunct/>
        <w:topLinePunct w:val="0"/>
        <w:autoSpaceDE/>
        <w:autoSpaceDN/>
        <w:bidi w:val="0"/>
        <w:adjustRightInd/>
        <w:snapToGrid/>
        <w:spacing w:beforeAutospacing="0" w:afterAutospacing="0" w:line="560" w:lineRule="exact"/>
        <w:textAlignment w:val="auto"/>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省教育厅：</w:t>
      </w:r>
    </w:p>
    <w:p w14:paraId="73854A57">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2025年是我校“十四五”发展规划的收官之年</w:t>
      </w:r>
      <w:r>
        <w:rPr>
          <w:rFonts w:hint="default" w:ascii="仿宋_GB2312" w:hAnsi="Times New Roman" w:eastAsia="仿宋_GB2312" w:cs="Times New Roman"/>
          <w:color w:val="000000" w:themeColor="text1"/>
          <w:sz w:val="32"/>
          <w:szCs w:val="32"/>
          <w:lang w:val="en-US" w:eastAsia="zh-CN"/>
          <w14:textFill>
            <w14:solidFill>
              <w14:schemeClr w14:val="tx1"/>
            </w14:solidFill>
          </w14:textFill>
        </w:rPr>
        <w:t>，</w:t>
      </w:r>
      <w:r>
        <w:rPr>
          <w:rFonts w:hint="eastAsia" w:ascii="仿宋_GB2312" w:hAnsi="Times New Roman" w:eastAsia="仿宋_GB2312" w:cs="Times New Roman"/>
          <w:color w:val="000000" w:themeColor="text1"/>
          <w:sz w:val="32"/>
          <w:szCs w:val="32"/>
          <w14:textFill>
            <w14:solidFill>
              <w14:schemeClr w14:val="tx1"/>
            </w14:solidFill>
          </w14:textFill>
        </w:rPr>
        <w:t>我们以高度的责任感和使命感，全力以赴、压实责任、精准施策，</w:t>
      </w:r>
      <w:r>
        <w:rPr>
          <w:rFonts w:hint="default" w:ascii="仿宋_GB2312" w:hAnsi="Times New Roman" w:eastAsia="仿宋_GB2312" w:cs="Times New Roman"/>
          <w:color w:val="000000" w:themeColor="text1"/>
          <w:sz w:val="32"/>
          <w:szCs w:val="32"/>
          <w14:textFill>
            <w14:solidFill>
              <w14:schemeClr w14:val="tx1"/>
            </w14:solidFill>
          </w14:textFill>
        </w:rPr>
        <w:t>深入实施学校“1236”发展战略，</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把握</w:t>
      </w:r>
      <w:r>
        <w:rPr>
          <w:rFonts w:hint="default" w:ascii="Times New Roman" w:hAnsi="Times New Roman" w:eastAsia="仿宋_GB2312" w:cs="Times New Roman"/>
          <w:color w:val="auto"/>
          <w:sz w:val="32"/>
          <w:szCs w:val="32"/>
        </w:rPr>
        <w:t>从“深度转海”向“快速强海”跨越</w:t>
      </w:r>
      <w:r>
        <w:rPr>
          <w:rFonts w:hint="eastAsia" w:ascii="仿宋_GB2312" w:hAnsi="Times New Roman" w:eastAsia="仿宋_GB2312" w:cs="Times New Roman"/>
          <w:color w:val="000000" w:themeColor="text1"/>
          <w:sz w:val="32"/>
          <w:szCs w:val="32"/>
          <w14:textFill>
            <w14:solidFill>
              <w14:schemeClr w14:val="tx1"/>
            </w14:solidFill>
          </w14:textFill>
        </w:rPr>
        <w:t>发展规划及需求，根据</w:t>
      </w:r>
      <w:r>
        <w:rPr>
          <w:rFonts w:hint="eastAsia" w:ascii="仿宋_GB2312" w:hAnsi="Times New Roman" w:eastAsia="仿宋_GB2312" w:cs="Times New Roman"/>
          <w:color w:val="000000" w:themeColor="text1"/>
          <w:sz w:val="32"/>
          <w:szCs w:val="32"/>
          <w14:textFill>
            <w14:solidFill>
              <w14:schemeClr w14:val="tx1"/>
            </w14:solidFill>
          </w14:textFill>
        </w:rPr>
        <w:t>《财政部教育部关于印发〈支持地方高校改革发展资金管理办法〉的通知》(财教〔2021〕315号)、《财政部 教育部关于〈支持地方高校改革发展资金管理办法〉的补充 通知》(财教〔2026〕2号)</w:t>
      </w:r>
      <w:r>
        <w:rPr>
          <w:rFonts w:hint="eastAsia" w:ascii="仿宋_GB2312" w:hAnsi="Times New Roman" w:eastAsia="仿宋_GB2312" w:cs="Times New Roman"/>
          <w:color w:val="000000" w:themeColor="text1"/>
          <w:sz w:val="32"/>
          <w:szCs w:val="32"/>
          <w:lang w:eastAsia="zh-CN"/>
          <w14:textFill>
            <w14:solidFill>
              <w14:schemeClr w14:val="tx1"/>
            </w14:solidFill>
          </w14:textFill>
        </w:rPr>
        <w:t>、</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海南省财政厅</w:t>
      </w:r>
      <w:r>
        <w:rPr>
          <w:rFonts w:hint="eastAsia" w:ascii="仿宋_GB2312" w:hAnsi="Times New Roman" w:eastAsia="仿宋_GB2312" w:cs="Times New Roman"/>
          <w:color w:val="000000" w:themeColor="text1"/>
          <w:sz w:val="32"/>
          <w:szCs w:val="32"/>
          <w14:textFill>
            <w14:solidFill>
              <w14:schemeClr w14:val="tx1"/>
            </w14:solidFill>
          </w14:textFill>
        </w:rPr>
        <w:t xml:space="preserve"> </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教育厅关于印发《支持地方高校改革发展资金管理办法》</w:t>
      </w:r>
      <w:r>
        <w:rPr>
          <w:rFonts w:hint="eastAsia" w:ascii="仿宋_GB2312" w:hAnsi="Times New Roman" w:eastAsia="仿宋_GB2312" w:cs="Times New Roman"/>
          <w:color w:val="000000" w:themeColor="text1"/>
          <w:sz w:val="32"/>
          <w:szCs w:val="32"/>
          <w14:textFill>
            <w14:solidFill>
              <w14:schemeClr w14:val="tx1"/>
            </w14:solidFill>
          </w14:textFill>
        </w:rPr>
        <w:t>(</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琼</w:t>
      </w:r>
      <w:r>
        <w:rPr>
          <w:rFonts w:hint="eastAsia" w:ascii="仿宋_GB2312" w:hAnsi="Times New Roman" w:eastAsia="仿宋_GB2312" w:cs="Times New Roman"/>
          <w:color w:val="000000" w:themeColor="text1"/>
          <w:sz w:val="32"/>
          <w:szCs w:val="32"/>
          <w14:textFill>
            <w14:solidFill>
              <w14:schemeClr w14:val="tx1"/>
            </w14:solidFill>
          </w14:textFill>
        </w:rPr>
        <w:t>财教</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规</w:t>
      </w:r>
      <w:r>
        <w:rPr>
          <w:rFonts w:hint="eastAsia" w:ascii="仿宋_GB2312" w:hAnsi="Times New Roman" w:eastAsia="仿宋_GB2312" w:cs="Times New Roman"/>
          <w:color w:val="000000" w:themeColor="text1"/>
          <w:sz w:val="32"/>
          <w:szCs w:val="32"/>
          <w14:textFill>
            <w14:solidFill>
              <w14:schemeClr w14:val="tx1"/>
            </w14:solidFill>
          </w14:textFill>
        </w:rPr>
        <w:t>〔202</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3</w:t>
      </w:r>
      <w:r>
        <w:rPr>
          <w:rFonts w:hint="eastAsia" w:ascii="仿宋_GB2312" w:hAnsi="Times New Roman" w:eastAsia="仿宋_GB2312" w:cs="Times New Roman"/>
          <w:color w:val="000000" w:themeColor="text1"/>
          <w:sz w:val="32"/>
          <w:szCs w:val="32"/>
          <w14:textFill>
            <w14:solidFill>
              <w14:schemeClr w14:val="tx1"/>
            </w14:solidFill>
          </w14:textFill>
        </w:rPr>
        <w:t>〕</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15</w:t>
      </w:r>
      <w:r>
        <w:rPr>
          <w:rFonts w:hint="eastAsia" w:ascii="仿宋_GB2312" w:hAnsi="Times New Roman" w:eastAsia="仿宋_GB2312" w:cs="Times New Roman"/>
          <w:color w:val="000000" w:themeColor="text1"/>
          <w:sz w:val="32"/>
          <w:szCs w:val="32"/>
          <w14:textFill>
            <w14:solidFill>
              <w14:schemeClr w14:val="tx1"/>
            </w14:solidFill>
          </w14:textFill>
        </w:rPr>
        <w:t>号)有关规定，遵循“中央引导、省级统筹，科学规划、合理安排，权责清晰、规范管理，专款专用、注重绩效”的原则，管好用好专项资金，充分发挥专项资金的使用效益。在贵厅的大力支持和关心帮助下，202</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5</w:t>
      </w:r>
      <w:r>
        <w:rPr>
          <w:rFonts w:hint="eastAsia" w:ascii="仿宋_GB2312" w:hAnsi="Times New Roman" w:eastAsia="仿宋_GB2312" w:cs="Times New Roman"/>
          <w:color w:val="000000" w:themeColor="text1"/>
          <w:sz w:val="32"/>
          <w:szCs w:val="32"/>
          <w14:textFill>
            <w14:solidFill>
              <w14:schemeClr w14:val="tx1"/>
            </w14:solidFill>
          </w14:textFill>
        </w:rPr>
        <w:t>年共安排我校中央财政支持地方高校改革发展项目资金</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6</w:t>
      </w:r>
      <w:r>
        <w:rPr>
          <w:rFonts w:hint="eastAsia" w:ascii="仿宋_GB2312" w:hAnsi="Times New Roman" w:eastAsia="仿宋_GB2312" w:cs="Times New Roman"/>
          <w:color w:val="000000" w:themeColor="text1"/>
          <w:sz w:val="32"/>
          <w:szCs w:val="32"/>
          <w14:textFill>
            <w14:solidFill>
              <w14:schemeClr w14:val="tx1"/>
            </w14:solidFill>
          </w14:textFill>
        </w:rPr>
        <w:t>,</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104</w:t>
      </w:r>
      <w:r>
        <w:rPr>
          <w:rFonts w:hint="eastAsia" w:ascii="仿宋_GB2312" w:hAnsi="Times New Roman" w:eastAsia="仿宋_GB2312" w:cs="Times New Roman"/>
          <w:color w:val="000000" w:themeColor="text1"/>
          <w:sz w:val="32"/>
          <w:szCs w:val="32"/>
          <w14:textFill>
            <w14:solidFill>
              <w14:schemeClr w14:val="tx1"/>
            </w14:solidFill>
          </w14:textFill>
        </w:rPr>
        <w:t>万元，现将该项目资金的执行情况汇报如下：</w:t>
      </w:r>
    </w:p>
    <w:p w14:paraId="02DC03FC">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黑体" w:hAnsi="黑体" w:eastAsia="黑体" w:cs="Times New Roman"/>
          <w:color w:val="000000" w:themeColor="text1"/>
          <w:sz w:val="32"/>
          <w:szCs w:val="32"/>
          <w14:textFill>
            <w14:solidFill>
              <w14:schemeClr w14:val="tx1"/>
            </w14:solidFill>
          </w14:textFill>
        </w:rPr>
      </w:pPr>
      <w:r>
        <w:rPr>
          <w:rFonts w:ascii="黑体" w:hAnsi="黑体" w:eastAsia="黑体" w:cs="Times New Roman"/>
          <w:color w:val="000000" w:themeColor="text1"/>
          <w:sz w:val="32"/>
          <w:szCs w:val="32"/>
          <w14:textFill>
            <w14:solidFill>
              <w14:schemeClr w14:val="tx1"/>
            </w14:solidFill>
          </w14:textFill>
        </w:rPr>
        <w:t>一、202</w:t>
      </w:r>
      <w:r>
        <w:rPr>
          <w:rFonts w:hint="eastAsia" w:ascii="黑体" w:hAnsi="黑体" w:eastAsia="黑体" w:cs="Times New Roman"/>
          <w:color w:val="000000" w:themeColor="text1"/>
          <w:sz w:val="32"/>
          <w:szCs w:val="32"/>
          <w:lang w:val="en-US" w:eastAsia="zh-CN"/>
          <w14:textFill>
            <w14:solidFill>
              <w14:schemeClr w14:val="tx1"/>
            </w14:solidFill>
          </w14:textFill>
        </w:rPr>
        <w:t>5</w:t>
      </w:r>
      <w:r>
        <w:rPr>
          <w:rFonts w:ascii="黑体" w:hAnsi="黑体" w:eastAsia="黑体" w:cs="Times New Roman"/>
          <w:color w:val="000000" w:themeColor="text1"/>
          <w:sz w:val="32"/>
          <w:szCs w:val="32"/>
          <w14:textFill>
            <w14:solidFill>
              <w14:schemeClr w14:val="tx1"/>
            </w14:solidFill>
          </w14:textFill>
        </w:rPr>
        <w:t>年度资金安排使用情况</w:t>
      </w:r>
    </w:p>
    <w:p w14:paraId="7CBD5A6C">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我校</w:t>
      </w:r>
      <w:r>
        <w:rPr>
          <w:rFonts w:hint="eastAsia" w:ascii="仿宋_GB2312" w:hAnsi="黑体" w:eastAsia="仿宋_GB2312" w:cs="Times New Roman"/>
          <w:color w:val="000000" w:themeColor="text1"/>
          <w:sz w:val="32"/>
          <w:szCs w:val="32"/>
          <w14:textFill>
            <w14:solidFill>
              <w14:schemeClr w14:val="tx1"/>
            </w14:solidFill>
          </w14:textFill>
        </w:rPr>
        <w:t>202</w:t>
      </w:r>
      <w:r>
        <w:rPr>
          <w:rFonts w:hint="eastAsia" w:ascii="仿宋_GB2312" w:hAnsi="黑体" w:eastAsia="仿宋_GB2312" w:cs="Times New Roman"/>
          <w:color w:val="000000" w:themeColor="text1"/>
          <w:sz w:val="32"/>
          <w:szCs w:val="32"/>
          <w:lang w:val="en-US" w:eastAsia="zh-CN"/>
          <w14:textFill>
            <w14:solidFill>
              <w14:schemeClr w14:val="tx1"/>
            </w14:solidFill>
          </w14:textFill>
        </w:rPr>
        <w:t>5</w:t>
      </w:r>
      <w:r>
        <w:rPr>
          <w:rFonts w:hint="eastAsia" w:ascii="仿宋_GB2312" w:hAnsi="Times New Roman" w:eastAsia="仿宋_GB2312" w:cs="Times New Roman"/>
          <w:color w:val="000000" w:themeColor="text1"/>
          <w:sz w:val="32"/>
          <w:szCs w:val="32"/>
          <w14:textFill>
            <w14:solidFill>
              <w14:schemeClr w14:val="tx1"/>
            </w14:solidFill>
          </w14:textFill>
        </w:rPr>
        <w:t>年获得支持地方高校改革发展项目资金共计</w:t>
      </w:r>
      <w:r>
        <w:rPr>
          <w:rFonts w:hint="eastAsia" w:ascii="仿宋_GB2312" w:hAnsi="黑体" w:eastAsia="仿宋_GB2312" w:cs="Times New Roman"/>
          <w:color w:val="000000" w:themeColor="text1"/>
          <w:sz w:val="32"/>
          <w:szCs w:val="32"/>
          <w:lang w:val="en-US" w:eastAsia="zh-CN"/>
          <w14:textFill>
            <w14:solidFill>
              <w14:schemeClr w14:val="tx1"/>
            </w14:solidFill>
          </w14:textFill>
        </w:rPr>
        <w:t>6</w:t>
      </w:r>
      <w:r>
        <w:rPr>
          <w:rFonts w:hint="eastAsia" w:ascii="仿宋_GB2312" w:hAnsi="黑体" w:eastAsia="仿宋_GB2312" w:cs="Times New Roman"/>
          <w:color w:val="000000" w:themeColor="text1"/>
          <w:sz w:val="32"/>
          <w:szCs w:val="32"/>
          <w14:textFill>
            <w14:solidFill>
              <w14:schemeClr w14:val="tx1"/>
            </w14:solidFill>
          </w14:textFill>
        </w:rPr>
        <w:t>,</w:t>
      </w:r>
      <w:r>
        <w:rPr>
          <w:rFonts w:hint="eastAsia" w:ascii="仿宋_GB2312" w:hAnsi="黑体" w:eastAsia="仿宋_GB2312" w:cs="Times New Roman"/>
          <w:color w:val="000000" w:themeColor="text1"/>
          <w:sz w:val="32"/>
          <w:szCs w:val="32"/>
          <w:lang w:val="en-US" w:eastAsia="zh-CN"/>
          <w14:textFill>
            <w14:solidFill>
              <w14:schemeClr w14:val="tx1"/>
            </w14:solidFill>
          </w14:textFill>
        </w:rPr>
        <w:t>104</w:t>
      </w:r>
      <w:r>
        <w:rPr>
          <w:rFonts w:hint="eastAsia" w:ascii="仿宋_GB2312" w:hAnsi="Times New Roman" w:eastAsia="仿宋_GB2312" w:cs="Times New Roman"/>
          <w:color w:val="000000" w:themeColor="text1"/>
          <w:sz w:val="32"/>
          <w:szCs w:val="32"/>
          <w14:textFill>
            <w14:solidFill>
              <w14:schemeClr w14:val="tx1"/>
            </w14:solidFill>
          </w14:textFill>
        </w:rPr>
        <w:t>万元，</w:t>
      </w:r>
      <w:r>
        <w:rPr>
          <w:rFonts w:hint="eastAsia" w:ascii="仿宋_GB2312" w:hAnsi="Times New Roman" w:eastAsia="仿宋_GB2312" w:cs="Times New Roman"/>
          <w:color w:val="000000" w:themeColor="text1"/>
          <w:sz w:val="32"/>
          <w:szCs w:val="32"/>
          <w:lang w:eastAsia="zh-CN"/>
          <w14:textFill>
            <w14:solidFill>
              <w14:schemeClr w14:val="tx1"/>
            </w14:solidFill>
          </w14:textFill>
        </w:rPr>
        <w:t>截</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止</w:t>
      </w:r>
      <w:r>
        <w:rPr>
          <w:rFonts w:hint="eastAsia" w:ascii="仿宋_GB2312" w:hAnsi="Times New Roman" w:eastAsia="仿宋_GB2312" w:cs="Times New Roman"/>
          <w:color w:val="000000" w:themeColor="text1"/>
          <w:sz w:val="32"/>
          <w:szCs w:val="32"/>
          <w14:textFill>
            <w14:solidFill>
              <w14:schemeClr w14:val="tx1"/>
            </w14:solidFill>
          </w14:textFill>
        </w:rPr>
        <w:t>202</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5</w:t>
      </w:r>
      <w:r>
        <w:rPr>
          <w:rFonts w:hint="eastAsia" w:ascii="仿宋_GB2312" w:hAnsi="Times New Roman" w:eastAsia="仿宋_GB2312" w:cs="Times New Roman"/>
          <w:color w:val="000000" w:themeColor="text1"/>
          <w:sz w:val="32"/>
          <w:szCs w:val="32"/>
          <w14:textFill>
            <w14:solidFill>
              <w14:schemeClr w14:val="tx1"/>
            </w14:solidFill>
          </w14:textFill>
        </w:rPr>
        <w:t>年12月31日，202</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4</w:t>
      </w:r>
      <w:r>
        <w:rPr>
          <w:rFonts w:hint="eastAsia" w:ascii="仿宋_GB2312" w:hAnsi="Times New Roman" w:eastAsia="仿宋_GB2312" w:cs="Times New Roman"/>
          <w:color w:val="000000" w:themeColor="text1"/>
          <w:sz w:val="32"/>
          <w:szCs w:val="32"/>
          <w14:textFill>
            <w14:solidFill>
              <w14:schemeClr w14:val="tx1"/>
            </w14:solidFill>
          </w14:textFill>
        </w:rPr>
        <w:t>年中央财政安排的支持地方高校改革发展资金无结余，202</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5</w:t>
      </w:r>
      <w:r>
        <w:rPr>
          <w:rFonts w:hint="eastAsia" w:ascii="仿宋_GB2312" w:hAnsi="Times New Roman" w:eastAsia="仿宋_GB2312" w:cs="Times New Roman"/>
          <w:color w:val="000000" w:themeColor="text1"/>
          <w:sz w:val="32"/>
          <w:szCs w:val="32"/>
          <w14:textFill>
            <w14:solidFill>
              <w14:schemeClr w14:val="tx1"/>
            </w14:solidFill>
          </w14:textFill>
        </w:rPr>
        <w:t>年项目资金已完成支出</w:t>
      </w:r>
      <w:r>
        <w:rPr>
          <w:rFonts w:hint="eastAsia" w:ascii="仿宋_GB2312" w:hAnsi="黑体" w:eastAsia="仿宋_GB2312" w:cs="Times New Roman"/>
          <w:color w:val="000000" w:themeColor="text1"/>
          <w:sz w:val="32"/>
          <w:szCs w:val="32"/>
          <w14:textFill>
            <w14:solidFill>
              <w14:schemeClr w14:val="tx1"/>
            </w14:solidFill>
          </w14:textFill>
        </w:rPr>
        <w:t>5,</w:t>
      </w:r>
      <w:r>
        <w:rPr>
          <w:rFonts w:hint="eastAsia" w:ascii="仿宋_GB2312" w:hAnsi="黑体" w:eastAsia="仿宋_GB2312" w:cs="Times New Roman"/>
          <w:color w:val="000000" w:themeColor="text1"/>
          <w:sz w:val="32"/>
          <w:szCs w:val="32"/>
          <w:lang w:val="en-US" w:eastAsia="zh-CN"/>
          <w14:textFill>
            <w14:solidFill>
              <w14:schemeClr w14:val="tx1"/>
            </w14:solidFill>
          </w14:textFill>
        </w:rPr>
        <w:t>711.77</w:t>
      </w:r>
      <w:r>
        <w:rPr>
          <w:rFonts w:hint="eastAsia" w:ascii="仿宋_GB2312" w:hAnsi="Times New Roman" w:eastAsia="仿宋_GB2312" w:cs="Times New Roman"/>
          <w:color w:val="000000" w:themeColor="text1"/>
          <w:sz w:val="32"/>
          <w:szCs w:val="32"/>
          <w14:textFill>
            <w14:solidFill>
              <w14:schemeClr w14:val="tx1"/>
            </w14:solidFill>
          </w14:textFill>
        </w:rPr>
        <w:t>万元，支出进度</w:t>
      </w:r>
      <w:r>
        <w:rPr>
          <w:rFonts w:hint="eastAsia" w:ascii="仿宋_GB2312" w:hAnsi="黑体" w:eastAsia="仿宋_GB2312" w:cs="Times New Roman"/>
          <w:color w:val="000000" w:themeColor="text1"/>
          <w:sz w:val="32"/>
          <w:szCs w:val="32"/>
          <w14:textFill>
            <w14:solidFill>
              <w14:schemeClr w14:val="tx1"/>
            </w14:solidFill>
          </w14:textFill>
        </w:rPr>
        <w:t>9</w:t>
      </w:r>
      <w:r>
        <w:rPr>
          <w:rFonts w:hint="eastAsia" w:ascii="仿宋_GB2312" w:hAnsi="黑体" w:eastAsia="仿宋_GB2312" w:cs="Times New Roman"/>
          <w:color w:val="000000" w:themeColor="text1"/>
          <w:sz w:val="32"/>
          <w:szCs w:val="32"/>
          <w:lang w:val="en-US" w:eastAsia="zh-CN"/>
          <w14:textFill>
            <w14:solidFill>
              <w14:schemeClr w14:val="tx1"/>
            </w14:solidFill>
          </w14:textFill>
        </w:rPr>
        <w:t>3</w:t>
      </w:r>
      <w:r>
        <w:rPr>
          <w:rFonts w:hint="eastAsia" w:ascii="仿宋_GB2312" w:hAnsi="黑体" w:eastAsia="仿宋_GB2312" w:cs="Times New Roman"/>
          <w:color w:val="000000" w:themeColor="text1"/>
          <w:sz w:val="32"/>
          <w:szCs w:val="32"/>
          <w14:textFill>
            <w14:solidFill>
              <w14:schemeClr w14:val="tx1"/>
            </w14:solidFill>
          </w14:textFill>
        </w:rPr>
        <w:t>.</w:t>
      </w:r>
      <w:r>
        <w:rPr>
          <w:rFonts w:hint="eastAsia" w:ascii="仿宋_GB2312" w:hAnsi="黑体" w:eastAsia="仿宋_GB2312" w:cs="Times New Roman"/>
          <w:color w:val="000000" w:themeColor="text1"/>
          <w:sz w:val="32"/>
          <w:szCs w:val="32"/>
          <w:lang w:val="en-US" w:eastAsia="zh-CN"/>
          <w14:textFill>
            <w14:solidFill>
              <w14:schemeClr w14:val="tx1"/>
            </w14:solidFill>
          </w14:textFill>
        </w:rPr>
        <w:t>57</w:t>
      </w:r>
      <w:r>
        <w:rPr>
          <w:rFonts w:hint="eastAsia" w:ascii="仿宋_GB2312" w:hAnsi="黑体" w:eastAsia="仿宋_GB2312" w:cs="Times New Roman"/>
          <w:color w:val="000000" w:themeColor="text1"/>
          <w:sz w:val="32"/>
          <w:szCs w:val="32"/>
          <w14:textFill>
            <w14:solidFill>
              <w14:schemeClr w14:val="tx1"/>
            </w14:solidFill>
          </w14:textFill>
        </w:rPr>
        <w:t>%</w:t>
      </w:r>
      <w:r>
        <w:rPr>
          <w:rFonts w:hint="eastAsia" w:ascii="仿宋_GB2312" w:hAnsi="Times New Roman" w:eastAsia="仿宋_GB2312" w:cs="Times New Roman"/>
          <w:color w:val="000000" w:themeColor="text1"/>
          <w:sz w:val="32"/>
          <w:szCs w:val="32"/>
          <w14:textFill>
            <w14:solidFill>
              <w14:schemeClr w14:val="tx1"/>
            </w14:solidFill>
          </w14:textFill>
        </w:rPr>
        <w:t>。其中，</w:t>
      </w:r>
      <w:r>
        <w:rPr>
          <w:rFonts w:hint="eastAsia" w:ascii="仿宋_GB2312" w:hAnsi="黑体" w:eastAsia="仿宋_GB2312" w:cs="Times New Roman"/>
          <w:color w:val="000000" w:themeColor="text1"/>
          <w:sz w:val="32"/>
          <w:szCs w:val="32"/>
          <w14:textFill>
            <w14:solidFill>
              <w14:schemeClr w14:val="tx1"/>
            </w14:solidFill>
          </w14:textFill>
        </w:rPr>
        <w:t>505</w:t>
      </w:r>
      <w:r>
        <w:rPr>
          <w:rFonts w:hint="eastAsia" w:ascii="仿宋_GB2312" w:hAnsi="Times New Roman" w:eastAsia="仿宋_GB2312" w:cs="Times New Roman"/>
          <w:color w:val="000000" w:themeColor="text1"/>
          <w:sz w:val="32"/>
          <w:szCs w:val="32"/>
          <w14:textFill>
            <w14:solidFill>
              <w14:schemeClr w14:val="tx1"/>
            </w14:solidFill>
          </w14:textFill>
        </w:rPr>
        <w:t>-对事业单位经常性补助安排资金</w:t>
      </w:r>
      <w:r>
        <w:rPr>
          <w:rFonts w:hint="eastAsia" w:ascii="仿宋_GB2312" w:hAnsi="黑体" w:eastAsia="仿宋_GB2312" w:cs="Times New Roman"/>
          <w:color w:val="000000" w:themeColor="text1"/>
          <w:sz w:val="32"/>
          <w:szCs w:val="32"/>
          <w14:textFill>
            <w14:solidFill>
              <w14:schemeClr w14:val="tx1"/>
            </w14:solidFill>
          </w14:textFill>
        </w:rPr>
        <w:t>4,</w:t>
      </w:r>
      <w:r>
        <w:rPr>
          <w:rFonts w:hint="eastAsia" w:ascii="仿宋_GB2312" w:hAnsi="黑体" w:eastAsia="仿宋_GB2312" w:cs="Times New Roman"/>
          <w:color w:val="000000" w:themeColor="text1"/>
          <w:sz w:val="32"/>
          <w:szCs w:val="32"/>
          <w:lang w:val="en-US" w:eastAsia="zh-CN"/>
          <w14:textFill>
            <w14:solidFill>
              <w14:schemeClr w14:val="tx1"/>
            </w14:solidFill>
          </w14:textFill>
        </w:rPr>
        <w:t>254</w:t>
      </w:r>
      <w:r>
        <w:rPr>
          <w:rFonts w:hint="eastAsia" w:ascii="仿宋_GB2312" w:hAnsi="Times New Roman" w:eastAsia="仿宋_GB2312" w:cs="Times New Roman"/>
          <w:color w:val="000000" w:themeColor="text1"/>
          <w:sz w:val="32"/>
          <w:szCs w:val="32"/>
          <w14:textFill>
            <w14:solidFill>
              <w14:schemeClr w14:val="tx1"/>
            </w14:solidFill>
          </w14:textFill>
        </w:rPr>
        <w:t>万元，完成支出</w:t>
      </w:r>
      <w:r>
        <w:rPr>
          <w:rFonts w:hint="eastAsia" w:ascii="仿宋_GB2312" w:hAnsi="黑体" w:eastAsia="仿宋_GB2312" w:cs="Times New Roman"/>
          <w:color w:val="000000" w:themeColor="text1"/>
          <w:sz w:val="32"/>
          <w:szCs w:val="32"/>
          <w14:textFill>
            <w14:solidFill>
              <w14:schemeClr w14:val="tx1"/>
            </w14:solidFill>
          </w14:textFill>
        </w:rPr>
        <w:t>4,</w:t>
      </w:r>
      <w:r>
        <w:rPr>
          <w:rFonts w:hint="eastAsia" w:ascii="仿宋_GB2312" w:hAnsi="黑体" w:eastAsia="仿宋_GB2312" w:cs="Times New Roman"/>
          <w:color w:val="000000" w:themeColor="text1"/>
          <w:sz w:val="32"/>
          <w:szCs w:val="32"/>
          <w:lang w:val="en-US" w:eastAsia="zh-CN"/>
          <w14:textFill>
            <w14:solidFill>
              <w14:schemeClr w14:val="tx1"/>
            </w14:solidFill>
          </w14:textFill>
        </w:rPr>
        <w:t>253</w:t>
      </w:r>
      <w:r>
        <w:rPr>
          <w:rFonts w:hint="eastAsia" w:ascii="仿宋_GB2312" w:hAnsi="黑体" w:eastAsia="仿宋_GB2312" w:cs="Times New Roman"/>
          <w:color w:val="000000" w:themeColor="text1"/>
          <w:sz w:val="32"/>
          <w:szCs w:val="32"/>
          <w14:textFill>
            <w14:solidFill>
              <w14:schemeClr w14:val="tx1"/>
            </w14:solidFill>
          </w14:textFill>
        </w:rPr>
        <w:t>.</w:t>
      </w:r>
      <w:r>
        <w:rPr>
          <w:rFonts w:hint="eastAsia" w:ascii="仿宋_GB2312" w:hAnsi="黑体" w:eastAsia="仿宋_GB2312" w:cs="Times New Roman"/>
          <w:color w:val="000000" w:themeColor="text1"/>
          <w:sz w:val="32"/>
          <w:szCs w:val="32"/>
          <w:lang w:val="en-US" w:eastAsia="zh-CN"/>
          <w14:textFill>
            <w14:solidFill>
              <w14:schemeClr w14:val="tx1"/>
            </w14:solidFill>
          </w14:textFill>
        </w:rPr>
        <w:t>42</w:t>
      </w:r>
      <w:r>
        <w:rPr>
          <w:rFonts w:hint="eastAsia" w:ascii="仿宋_GB2312" w:hAnsi="Times New Roman" w:eastAsia="仿宋_GB2312" w:cs="Times New Roman"/>
          <w:color w:val="000000" w:themeColor="text1"/>
          <w:sz w:val="32"/>
          <w:szCs w:val="32"/>
          <w14:textFill>
            <w14:solidFill>
              <w14:schemeClr w14:val="tx1"/>
            </w14:solidFill>
          </w14:textFill>
        </w:rPr>
        <w:t>万元，支出进度</w:t>
      </w:r>
      <w:r>
        <w:rPr>
          <w:rFonts w:hint="eastAsia" w:ascii="仿宋_GB2312" w:hAnsi="黑体" w:eastAsia="仿宋_GB2312" w:cs="Times New Roman"/>
          <w:color w:val="000000" w:themeColor="text1"/>
          <w:sz w:val="32"/>
          <w:szCs w:val="32"/>
          <w14:textFill>
            <w14:solidFill>
              <w14:schemeClr w14:val="tx1"/>
            </w14:solidFill>
          </w14:textFill>
        </w:rPr>
        <w:t>99.</w:t>
      </w:r>
      <w:r>
        <w:rPr>
          <w:rFonts w:hint="eastAsia" w:ascii="仿宋_GB2312" w:hAnsi="黑体" w:eastAsia="仿宋_GB2312" w:cs="Times New Roman"/>
          <w:color w:val="000000" w:themeColor="text1"/>
          <w:sz w:val="32"/>
          <w:szCs w:val="32"/>
          <w:lang w:val="en-US" w:eastAsia="zh-CN"/>
          <w14:textFill>
            <w14:solidFill>
              <w14:schemeClr w14:val="tx1"/>
            </w14:solidFill>
          </w14:textFill>
        </w:rPr>
        <w:t>99</w:t>
      </w:r>
      <w:r>
        <w:rPr>
          <w:rFonts w:hint="eastAsia" w:ascii="仿宋_GB2312" w:hAnsi="黑体" w:eastAsia="仿宋_GB2312" w:cs="Times New Roman"/>
          <w:color w:val="000000" w:themeColor="text1"/>
          <w:sz w:val="32"/>
          <w:szCs w:val="32"/>
          <w14:textFill>
            <w14:solidFill>
              <w14:schemeClr w14:val="tx1"/>
            </w14:solidFill>
          </w14:textFill>
        </w:rPr>
        <w:t>%</w:t>
      </w:r>
      <w:r>
        <w:rPr>
          <w:rFonts w:hint="eastAsia" w:ascii="仿宋_GB2312" w:hAnsi="Times New Roman" w:eastAsia="仿宋_GB2312" w:cs="Times New Roman"/>
          <w:color w:val="000000" w:themeColor="text1"/>
          <w:sz w:val="32"/>
          <w:szCs w:val="32"/>
          <w14:textFill>
            <w14:solidFill>
              <w14:schemeClr w14:val="tx1"/>
            </w14:solidFill>
          </w14:textFill>
        </w:rPr>
        <w:t>；</w:t>
      </w:r>
      <w:r>
        <w:rPr>
          <w:rFonts w:hint="eastAsia" w:ascii="仿宋_GB2312" w:hAnsi="黑体" w:eastAsia="仿宋_GB2312" w:cs="Times New Roman"/>
          <w:color w:val="000000" w:themeColor="text1"/>
          <w:sz w:val="32"/>
          <w:szCs w:val="32"/>
          <w14:textFill>
            <w14:solidFill>
              <w14:schemeClr w14:val="tx1"/>
            </w14:solidFill>
          </w14:textFill>
        </w:rPr>
        <w:t>506-</w:t>
      </w:r>
      <w:r>
        <w:rPr>
          <w:rFonts w:hint="eastAsia" w:ascii="仿宋_GB2312" w:hAnsi="Times New Roman" w:eastAsia="仿宋_GB2312" w:cs="Times New Roman"/>
          <w:color w:val="000000" w:themeColor="text1"/>
          <w:sz w:val="32"/>
          <w:szCs w:val="32"/>
          <w14:textFill>
            <w14:solidFill>
              <w14:schemeClr w14:val="tx1"/>
            </w14:solidFill>
          </w14:textFill>
        </w:rPr>
        <w:t>对事业单位资本性补助安排资金</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6</w:t>
      </w:r>
      <w:r>
        <w:rPr>
          <w:rFonts w:hint="eastAsia" w:ascii="仿宋_GB2312" w:hAnsi="黑体" w:eastAsia="仿宋_GB2312" w:cs="Times New Roman"/>
          <w:color w:val="000000" w:themeColor="text1"/>
          <w:sz w:val="32"/>
          <w:szCs w:val="32"/>
          <w14:textFill>
            <w14:solidFill>
              <w14:schemeClr w14:val="tx1"/>
            </w14:solidFill>
          </w14:textFill>
        </w:rPr>
        <w:t>00</w:t>
      </w:r>
      <w:r>
        <w:rPr>
          <w:rFonts w:hint="eastAsia" w:ascii="仿宋_GB2312" w:hAnsi="Times New Roman" w:eastAsia="仿宋_GB2312" w:cs="Times New Roman"/>
          <w:color w:val="000000" w:themeColor="text1"/>
          <w:sz w:val="32"/>
          <w:szCs w:val="32"/>
          <w14:textFill>
            <w14:solidFill>
              <w14:schemeClr w14:val="tx1"/>
            </w14:solidFill>
          </w14:textFill>
        </w:rPr>
        <w:t>万元，完成支出</w:t>
      </w:r>
      <w:r>
        <w:rPr>
          <w:rFonts w:hint="eastAsia" w:ascii="仿宋_GB2312" w:hAnsi="黑体" w:eastAsia="仿宋_GB2312" w:cs="Times New Roman"/>
          <w:color w:val="000000" w:themeColor="text1"/>
          <w:sz w:val="32"/>
          <w:szCs w:val="32"/>
          <w:lang w:val="en-US" w:eastAsia="zh-CN"/>
          <w14:textFill>
            <w14:solidFill>
              <w14:schemeClr w14:val="tx1"/>
            </w14:solidFill>
          </w14:textFill>
        </w:rPr>
        <w:t>308.57</w:t>
      </w:r>
      <w:r>
        <w:rPr>
          <w:rFonts w:hint="eastAsia" w:ascii="仿宋_GB2312" w:hAnsi="Times New Roman" w:eastAsia="仿宋_GB2312" w:cs="Times New Roman"/>
          <w:color w:val="000000" w:themeColor="text1"/>
          <w:sz w:val="32"/>
          <w:szCs w:val="32"/>
          <w14:textFill>
            <w14:solidFill>
              <w14:schemeClr w14:val="tx1"/>
            </w14:solidFill>
          </w14:textFill>
        </w:rPr>
        <w:t>元，支出进度</w:t>
      </w:r>
      <w:r>
        <w:rPr>
          <w:rFonts w:hint="eastAsia" w:ascii="仿宋_GB2312" w:hAnsi="黑体" w:eastAsia="仿宋_GB2312" w:cs="Times New Roman"/>
          <w:color w:val="000000" w:themeColor="text1"/>
          <w:sz w:val="32"/>
          <w:szCs w:val="32"/>
          <w:lang w:val="en-US" w:eastAsia="zh-CN"/>
          <w14:textFill>
            <w14:solidFill>
              <w14:schemeClr w14:val="tx1"/>
            </w14:solidFill>
          </w14:textFill>
        </w:rPr>
        <w:t>51.43</w:t>
      </w:r>
      <w:r>
        <w:rPr>
          <w:rFonts w:hint="eastAsia" w:ascii="仿宋_GB2312" w:hAnsi="黑体" w:eastAsia="仿宋_GB2312" w:cs="Times New Roman"/>
          <w:color w:val="000000" w:themeColor="text1"/>
          <w:sz w:val="32"/>
          <w:szCs w:val="32"/>
          <w14:textFill>
            <w14:solidFill>
              <w14:schemeClr w14:val="tx1"/>
            </w14:solidFill>
          </w14:textFill>
        </w:rPr>
        <w:t>%</w:t>
      </w:r>
      <w:r>
        <w:rPr>
          <w:rFonts w:hint="eastAsia" w:ascii="仿宋_GB2312" w:hAnsi="Times New Roman" w:eastAsia="仿宋_GB2312" w:cs="Times New Roman"/>
          <w:color w:val="000000" w:themeColor="text1"/>
          <w:sz w:val="32"/>
          <w:szCs w:val="32"/>
          <w14:textFill>
            <w14:solidFill>
              <w14:schemeClr w14:val="tx1"/>
            </w14:solidFill>
          </w14:textFill>
        </w:rPr>
        <w:t>；</w:t>
      </w:r>
      <w:r>
        <w:rPr>
          <w:rFonts w:hint="eastAsia" w:ascii="仿宋_GB2312" w:hAnsi="黑体" w:eastAsia="仿宋_GB2312" w:cs="Times New Roman"/>
          <w:color w:val="000000" w:themeColor="text1"/>
          <w:sz w:val="32"/>
          <w:szCs w:val="32"/>
          <w14:textFill>
            <w14:solidFill>
              <w14:schemeClr w14:val="tx1"/>
            </w14:solidFill>
          </w14:textFill>
        </w:rPr>
        <w:t>509</w:t>
      </w:r>
      <w:r>
        <w:rPr>
          <w:rFonts w:hint="eastAsia" w:ascii="仿宋_GB2312" w:hAnsi="Times New Roman" w:eastAsia="仿宋_GB2312" w:cs="Times New Roman"/>
          <w:color w:val="000000" w:themeColor="text1"/>
          <w:sz w:val="32"/>
          <w:szCs w:val="32"/>
          <w14:textFill>
            <w14:solidFill>
              <w14:schemeClr w14:val="tx1"/>
            </w14:solidFill>
          </w14:textFill>
        </w:rPr>
        <w:t>-对个人和家庭的补助安排资金</w:t>
      </w:r>
      <w:r>
        <w:rPr>
          <w:rFonts w:hint="eastAsia" w:ascii="仿宋_GB2312" w:hAnsi="黑体" w:eastAsia="仿宋_GB2312" w:cs="Times New Roman"/>
          <w:color w:val="000000" w:themeColor="text1"/>
          <w:sz w:val="32"/>
          <w:szCs w:val="32"/>
          <w:lang w:val="en-US" w:eastAsia="zh-CN"/>
          <w14:textFill>
            <w14:solidFill>
              <w14:schemeClr w14:val="tx1"/>
            </w14:solidFill>
          </w14:textFill>
        </w:rPr>
        <w:t>1,250</w:t>
      </w:r>
      <w:r>
        <w:rPr>
          <w:rFonts w:hint="eastAsia" w:ascii="仿宋_GB2312" w:hAnsi="Times New Roman" w:eastAsia="仿宋_GB2312" w:cs="Times New Roman"/>
          <w:color w:val="000000" w:themeColor="text1"/>
          <w:sz w:val="32"/>
          <w:szCs w:val="32"/>
          <w14:textFill>
            <w14:solidFill>
              <w14:schemeClr w14:val="tx1"/>
            </w14:solidFill>
          </w14:textFill>
        </w:rPr>
        <w:t>万元，完成支出</w:t>
      </w:r>
      <w:r>
        <w:rPr>
          <w:rFonts w:hint="eastAsia" w:ascii="仿宋_GB2312" w:hAnsi="黑体" w:eastAsia="仿宋_GB2312" w:cs="Times New Roman"/>
          <w:color w:val="000000" w:themeColor="text1"/>
          <w:sz w:val="32"/>
          <w:szCs w:val="32"/>
          <w:lang w:val="en-US" w:eastAsia="zh-CN"/>
          <w14:textFill>
            <w14:solidFill>
              <w14:schemeClr w14:val="tx1"/>
            </w14:solidFill>
          </w14:textFill>
        </w:rPr>
        <w:t>1,149</w:t>
      </w:r>
      <w:r>
        <w:rPr>
          <w:rFonts w:hint="eastAsia" w:ascii="仿宋_GB2312" w:hAnsi="黑体" w:eastAsia="仿宋_GB2312" w:cs="Times New Roman"/>
          <w:color w:val="000000" w:themeColor="text1"/>
          <w:sz w:val="32"/>
          <w:szCs w:val="32"/>
          <w14:textFill>
            <w14:solidFill>
              <w14:schemeClr w14:val="tx1"/>
            </w14:solidFill>
          </w14:textFill>
        </w:rPr>
        <w:t>.78</w:t>
      </w:r>
      <w:r>
        <w:rPr>
          <w:rFonts w:hint="eastAsia" w:ascii="仿宋_GB2312" w:hAnsi="Times New Roman" w:eastAsia="仿宋_GB2312" w:cs="Times New Roman"/>
          <w:color w:val="000000" w:themeColor="text1"/>
          <w:sz w:val="32"/>
          <w:szCs w:val="32"/>
          <w14:textFill>
            <w14:solidFill>
              <w14:schemeClr w14:val="tx1"/>
            </w14:solidFill>
          </w14:textFill>
        </w:rPr>
        <w:t>万元，支出进度</w:t>
      </w:r>
      <w:r>
        <w:rPr>
          <w:rFonts w:hint="eastAsia" w:ascii="仿宋_GB2312" w:hAnsi="黑体" w:eastAsia="仿宋_GB2312" w:cs="Times New Roman"/>
          <w:color w:val="000000" w:themeColor="text1"/>
          <w:sz w:val="32"/>
          <w:szCs w:val="32"/>
          <w14:textFill>
            <w14:solidFill>
              <w14:schemeClr w14:val="tx1"/>
            </w14:solidFill>
          </w14:textFill>
        </w:rPr>
        <w:t>9</w:t>
      </w:r>
      <w:r>
        <w:rPr>
          <w:rFonts w:hint="eastAsia" w:ascii="仿宋_GB2312" w:hAnsi="黑体" w:eastAsia="仿宋_GB2312" w:cs="Times New Roman"/>
          <w:color w:val="000000" w:themeColor="text1"/>
          <w:sz w:val="32"/>
          <w:szCs w:val="32"/>
          <w:lang w:val="en-US" w:eastAsia="zh-CN"/>
          <w14:textFill>
            <w14:solidFill>
              <w14:schemeClr w14:val="tx1"/>
            </w14:solidFill>
          </w14:textFill>
        </w:rPr>
        <w:t>1</w:t>
      </w:r>
      <w:r>
        <w:rPr>
          <w:rFonts w:hint="eastAsia" w:ascii="仿宋_GB2312" w:hAnsi="黑体" w:eastAsia="仿宋_GB2312" w:cs="Times New Roman"/>
          <w:color w:val="000000" w:themeColor="text1"/>
          <w:sz w:val="32"/>
          <w:szCs w:val="32"/>
          <w14:textFill>
            <w14:solidFill>
              <w14:schemeClr w14:val="tx1"/>
            </w14:solidFill>
          </w14:textFill>
        </w:rPr>
        <w:t>.9</w:t>
      </w:r>
      <w:r>
        <w:rPr>
          <w:rFonts w:hint="eastAsia" w:ascii="仿宋_GB2312" w:hAnsi="黑体" w:eastAsia="仿宋_GB2312" w:cs="Times New Roman"/>
          <w:color w:val="000000" w:themeColor="text1"/>
          <w:sz w:val="32"/>
          <w:szCs w:val="32"/>
          <w:lang w:val="en-US" w:eastAsia="zh-CN"/>
          <w14:textFill>
            <w14:solidFill>
              <w14:schemeClr w14:val="tx1"/>
            </w14:solidFill>
          </w14:textFill>
        </w:rPr>
        <w:t>8</w:t>
      </w:r>
      <w:r>
        <w:rPr>
          <w:rFonts w:hint="eastAsia" w:ascii="仿宋_GB2312" w:hAnsi="Times New Roman" w:eastAsia="仿宋_GB2312" w:cs="Times New Roman"/>
          <w:color w:val="000000" w:themeColor="text1"/>
          <w:sz w:val="32"/>
          <w:szCs w:val="32"/>
          <w14:textFill>
            <w14:solidFill>
              <w14:schemeClr w14:val="tx1"/>
            </w14:solidFill>
          </w14:textFill>
        </w:rPr>
        <w:t>%。</w:t>
      </w:r>
    </w:p>
    <w:p w14:paraId="3BB0E459">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黑体" w:eastAsia="仿宋_GB2312" w:cs="Times New Roman"/>
          <w:color w:val="000000" w:themeColor="text1"/>
          <w:sz w:val="32"/>
          <w:szCs w:val="32"/>
          <w14:textFill>
            <w14:solidFill>
              <w14:schemeClr w14:val="tx1"/>
            </w14:solidFill>
          </w14:textFill>
        </w:rPr>
        <w:t>202</w:t>
      </w:r>
      <w:r>
        <w:rPr>
          <w:rFonts w:hint="eastAsia" w:ascii="仿宋_GB2312" w:hAnsi="黑体" w:eastAsia="仿宋_GB2312" w:cs="Times New Roman"/>
          <w:color w:val="000000" w:themeColor="text1"/>
          <w:sz w:val="32"/>
          <w:szCs w:val="32"/>
          <w:lang w:val="en-US" w:eastAsia="zh-CN"/>
          <w14:textFill>
            <w14:solidFill>
              <w14:schemeClr w14:val="tx1"/>
            </w14:solidFill>
          </w14:textFill>
        </w:rPr>
        <w:t>5</w:t>
      </w:r>
      <w:r>
        <w:rPr>
          <w:rFonts w:hint="eastAsia" w:ascii="仿宋_GB2312" w:hAnsi="Times New Roman" w:eastAsia="仿宋_GB2312" w:cs="Times New Roman"/>
          <w:color w:val="000000" w:themeColor="text1"/>
          <w:sz w:val="32"/>
          <w:szCs w:val="32"/>
          <w14:textFill>
            <w14:solidFill>
              <w14:schemeClr w14:val="tx1"/>
            </w14:solidFill>
          </w14:textFill>
        </w:rPr>
        <w:t>年支持地方高校改革发展项目资金主要用于以下几项内容：1.科研平台和专业能力实践基地建设项目，安排资金</w:t>
      </w:r>
      <w:r>
        <w:rPr>
          <w:rFonts w:hint="eastAsia" w:ascii="仿宋_GB2312" w:hAnsi="黑体" w:eastAsia="仿宋_GB2312" w:cs="Times New Roman"/>
          <w:color w:val="000000" w:themeColor="text1"/>
          <w:sz w:val="32"/>
          <w:szCs w:val="32"/>
          <w:lang w:val="en-US" w:eastAsia="zh-CN"/>
          <w14:textFill>
            <w14:solidFill>
              <w14:schemeClr w14:val="tx1"/>
            </w14:solidFill>
          </w14:textFill>
        </w:rPr>
        <w:t>1,236</w:t>
      </w:r>
      <w:r>
        <w:rPr>
          <w:rFonts w:hint="eastAsia" w:ascii="仿宋_GB2312" w:hAnsi="Times New Roman" w:eastAsia="仿宋_GB2312" w:cs="Times New Roman"/>
          <w:color w:val="000000" w:themeColor="text1"/>
          <w:sz w:val="32"/>
          <w:szCs w:val="32"/>
          <w14:textFill>
            <w14:solidFill>
              <w14:schemeClr w14:val="tx1"/>
            </w14:solidFill>
          </w14:textFill>
        </w:rPr>
        <w:t>万元；</w:t>
      </w:r>
      <w:r>
        <w:rPr>
          <w:rFonts w:hint="eastAsia" w:ascii="仿宋_GB2312" w:hAnsi="Times New Roman" w:eastAsia="仿宋_GB2312" w:cs="Times New Roman"/>
          <w:color w:val="000000" w:themeColor="text1"/>
          <w:spacing w:val="2"/>
          <w:sz w:val="32"/>
          <w:szCs w:val="32"/>
          <w14:textFill>
            <w14:solidFill>
              <w14:schemeClr w14:val="tx1"/>
            </w14:solidFill>
          </w14:textFill>
        </w:rPr>
        <w:t>2.人才培养和创新团队建设项目，安排资金</w:t>
      </w:r>
      <w:r>
        <w:rPr>
          <w:rFonts w:hint="eastAsia" w:ascii="仿宋_GB2312" w:hAnsi="黑体" w:eastAsia="仿宋_GB2312" w:cs="Times New Roman"/>
          <w:color w:val="000000" w:themeColor="text1"/>
          <w:spacing w:val="2"/>
          <w:sz w:val="32"/>
          <w:szCs w:val="32"/>
          <w:lang w:val="en-US" w:eastAsia="zh-CN"/>
          <w14:textFill>
            <w14:solidFill>
              <w14:schemeClr w14:val="tx1"/>
            </w14:solidFill>
          </w14:textFill>
        </w:rPr>
        <w:t>1,200</w:t>
      </w:r>
      <w:r>
        <w:rPr>
          <w:rFonts w:hint="eastAsia" w:ascii="仿宋_GB2312" w:hAnsi="Times New Roman" w:eastAsia="仿宋_GB2312" w:cs="Times New Roman"/>
          <w:color w:val="000000" w:themeColor="text1"/>
          <w:spacing w:val="2"/>
          <w:sz w:val="32"/>
          <w:szCs w:val="32"/>
          <w14:textFill>
            <w14:solidFill>
              <w14:schemeClr w14:val="tx1"/>
            </w14:solidFill>
          </w14:textFill>
        </w:rPr>
        <w:t>万元；</w:t>
      </w:r>
      <w:r>
        <w:rPr>
          <w:rFonts w:hint="eastAsia" w:ascii="仿宋_GB2312" w:hAnsi="Times New Roman" w:eastAsia="仿宋_GB2312" w:cs="Times New Roman"/>
          <w:color w:val="000000" w:themeColor="text1"/>
          <w:sz w:val="32"/>
          <w:szCs w:val="32"/>
          <w14:textFill>
            <w14:solidFill>
              <w14:schemeClr w14:val="tx1"/>
            </w14:solidFill>
          </w14:textFill>
        </w:rPr>
        <w:t>3.公共服务体系建设项目，安排资金</w:t>
      </w:r>
      <w:r>
        <w:rPr>
          <w:rFonts w:hint="eastAsia" w:ascii="仿宋_GB2312" w:hAnsi="黑体" w:eastAsia="仿宋_GB2312" w:cs="Times New Roman"/>
          <w:color w:val="000000" w:themeColor="text1"/>
          <w:sz w:val="32"/>
          <w:szCs w:val="32"/>
          <w:lang w:val="en-US" w:eastAsia="zh-CN"/>
          <w14:textFill>
            <w14:solidFill>
              <w14:schemeClr w14:val="tx1"/>
            </w14:solidFill>
          </w14:textFill>
        </w:rPr>
        <w:t>2,040</w:t>
      </w:r>
      <w:r>
        <w:rPr>
          <w:rFonts w:hint="eastAsia" w:ascii="仿宋_GB2312" w:hAnsi="Times New Roman" w:eastAsia="仿宋_GB2312" w:cs="Times New Roman"/>
          <w:color w:val="000000" w:themeColor="text1"/>
          <w:sz w:val="32"/>
          <w:szCs w:val="32"/>
          <w14:textFill>
            <w14:solidFill>
              <w14:schemeClr w14:val="tx1"/>
            </w14:solidFill>
          </w14:textFill>
        </w:rPr>
        <w:t>万元；4.学生创新发展专项，安排资金</w:t>
      </w:r>
      <w:r>
        <w:rPr>
          <w:rFonts w:hint="eastAsia" w:ascii="仿宋_GB2312" w:hAnsi="黑体" w:eastAsia="仿宋_GB2312" w:cs="Times New Roman"/>
          <w:color w:val="000000" w:themeColor="text1"/>
          <w:sz w:val="32"/>
          <w:szCs w:val="32"/>
          <w:lang w:val="en-US" w:eastAsia="zh-CN"/>
          <w14:textFill>
            <w14:solidFill>
              <w14:schemeClr w14:val="tx1"/>
            </w14:solidFill>
          </w14:textFill>
        </w:rPr>
        <w:t>374</w:t>
      </w:r>
      <w:r>
        <w:rPr>
          <w:rFonts w:hint="eastAsia" w:ascii="仿宋_GB2312" w:hAnsi="Times New Roman" w:eastAsia="仿宋_GB2312" w:cs="Times New Roman"/>
          <w:color w:val="000000" w:themeColor="text1"/>
          <w:sz w:val="32"/>
          <w:szCs w:val="32"/>
          <w14:textFill>
            <w14:solidFill>
              <w14:schemeClr w14:val="tx1"/>
            </w14:solidFill>
          </w14:textFill>
        </w:rPr>
        <w:t>万元；5.学科、硕士学位点建设，安排资金</w:t>
      </w:r>
      <w:r>
        <w:rPr>
          <w:rFonts w:hint="eastAsia" w:ascii="仿宋_GB2312" w:hAnsi="黑体" w:eastAsia="仿宋_GB2312" w:cs="Times New Roman"/>
          <w:color w:val="000000" w:themeColor="text1"/>
          <w:sz w:val="32"/>
          <w:szCs w:val="32"/>
          <w:lang w:val="en-US" w:eastAsia="zh-CN"/>
          <w14:textFill>
            <w14:solidFill>
              <w14:schemeClr w14:val="tx1"/>
            </w14:solidFill>
          </w14:textFill>
        </w:rPr>
        <w:t>187</w:t>
      </w:r>
      <w:r>
        <w:rPr>
          <w:rFonts w:hint="eastAsia" w:ascii="仿宋_GB2312" w:hAnsi="Times New Roman" w:eastAsia="仿宋_GB2312" w:cs="Times New Roman"/>
          <w:color w:val="000000" w:themeColor="text1"/>
          <w:sz w:val="32"/>
          <w:szCs w:val="32"/>
          <w14:textFill>
            <w14:solidFill>
              <w14:schemeClr w14:val="tx1"/>
            </w14:solidFill>
          </w14:textFill>
        </w:rPr>
        <w:t>万元；6</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w:t>
      </w:r>
      <w:bookmarkStart w:id="1" w:name="_GoBack"/>
      <w:bookmarkEnd w:id="1"/>
      <w:r>
        <w:rPr>
          <w:rFonts w:hint="eastAsia" w:ascii="仿宋_GB2312" w:hAnsi="Times New Roman" w:eastAsia="仿宋_GB2312" w:cs="Times New Roman"/>
          <w:color w:val="000000" w:themeColor="text1"/>
          <w:sz w:val="32"/>
          <w:szCs w:val="32"/>
          <w14:textFill>
            <w14:solidFill>
              <w14:schemeClr w14:val="tx1"/>
            </w14:solidFill>
          </w14:textFill>
        </w:rPr>
        <w:t>教学业务专项，安排资金</w:t>
      </w:r>
      <w:r>
        <w:rPr>
          <w:rFonts w:hint="eastAsia" w:ascii="仿宋_GB2312" w:hAnsi="黑体" w:eastAsia="仿宋_GB2312" w:cs="Times New Roman"/>
          <w:color w:val="auto"/>
          <w:sz w:val="32"/>
          <w:szCs w:val="32"/>
          <w:highlight w:val="none"/>
          <w:lang w:val="en-US" w:eastAsia="zh-CN"/>
        </w:rPr>
        <w:t>1,067</w:t>
      </w:r>
      <w:r>
        <w:rPr>
          <w:rFonts w:hint="eastAsia" w:ascii="仿宋_GB2312" w:hAnsi="Times New Roman" w:eastAsia="仿宋_GB2312" w:cs="Times New Roman"/>
          <w:color w:val="000000" w:themeColor="text1"/>
          <w:sz w:val="32"/>
          <w:szCs w:val="32"/>
          <w14:textFill>
            <w14:solidFill>
              <w14:schemeClr w14:val="tx1"/>
            </w14:solidFill>
          </w14:textFill>
        </w:rPr>
        <w:t>万元。</w:t>
      </w:r>
    </w:p>
    <w:p w14:paraId="65103109">
      <w:pPr>
        <w:keepNext w:val="0"/>
        <w:keepLines w:val="0"/>
        <w:pageBreakBefore w:val="0"/>
        <w:kinsoku/>
        <w:wordWrap/>
        <w:overflowPunct/>
        <w:topLinePunct w:val="0"/>
        <w:autoSpaceDE/>
        <w:autoSpaceDN/>
        <w:bidi w:val="0"/>
        <w:adjustRightInd/>
        <w:snapToGrid/>
        <w:spacing w:beforeAutospacing="0" w:afterAutospacing="0" w:line="560" w:lineRule="exact"/>
        <w:ind w:firstLine="648" w:firstLineChars="200"/>
        <w:textAlignment w:val="auto"/>
        <w:rPr>
          <w:rFonts w:hint="eastAsia" w:ascii="仿宋_GB2312" w:hAnsi="Times New Roman" w:eastAsia="仿宋_GB2312" w:cs="Times New Roman"/>
          <w:color w:val="000000" w:themeColor="text1"/>
          <w:spacing w:val="2"/>
          <w:sz w:val="32"/>
          <w:szCs w:val="32"/>
          <w14:textFill>
            <w14:solidFill>
              <w14:schemeClr w14:val="tx1"/>
            </w14:solidFill>
          </w14:textFill>
        </w:rPr>
      </w:pPr>
      <w:r>
        <w:rPr>
          <w:rFonts w:hint="eastAsia" w:ascii="仿宋_GB2312" w:hAnsi="Times New Roman" w:eastAsia="仿宋_GB2312" w:cs="Times New Roman"/>
          <w:color w:val="000000" w:themeColor="text1"/>
          <w:spacing w:val="2"/>
          <w:sz w:val="32"/>
          <w:szCs w:val="32"/>
          <w14:textFill>
            <w14:solidFill>
              <w14:schemeClr w14:val="tx1"/>
            </w14:solidFill>
          </w14:textFill>
        </w:rPr>
        <w:t>我校2025年支持地方高校改革发展项目执行成效显著，通过专项资金的投入与建设，学校在服务海洋强国战略、建设高水平海洋大学的进程中迈出坚实步伐。项目的实施有效推动了我校基础教学科研条件</w:t>
      </w:r>
      <w:r>
        <w:rPr>
          <w:rFonts w:hint="eastAsia" w:ascii="仿宋_GB2312" w:hAnsi="Times New Roman" w:eastAsia="仿宋_GB2312" w:cs="Times New Roman"/>
          <w:color w:val="000000" w:themeColor="text1"/>
          <w:spacing w:val="2"/>
          <w:sz w:val="32"/>
          <w:szCs w:val="32"/>
          <w:lang w:eastAsia="zh-CN"/>
          <w14:textFill>
            <w14:solidFill>
              <w14:schemeClr w14:val="tx1"/>
            </w14:solidFill>
          </w14:textFill>
        </w:rPr>
        <w:t>的改善</w:t>
      </w:r>
      <w:r>
        <w:rPr>
          <w:rFonts w:hint="eastAsia" w:ascii="仿宋_GB2312" w:hAnsi="Times New Roman" w:eastAsia="仿宋_GB2312" w:cs="Times New Roman"/>
          <w:color w:val="000000" w:themeColor="text1"/>
          <w:spacing w:val="2"/>
          <w:sz w:val="32"/>
          <w:szCs w:val="32"/>
          <w14:textFill>
            <w14:solidFill>
              <w14:schemeClr w14:val="tx1"/>
            </w14:solidFill>
          </w14:textFill>
        </w:rPr>
        <w:t>，师资队伍结构持续优化、整体素质稳步提升；学生培养体系进一步完善，学习能力、实践本领与创新素养显著增强。在此基础上，学校整体办学质量与内涵建设水平持续提高，海洋学科特色与办学优势更加凸显</w:t>
      </w:r>
      <w:r>
        <w:rPr>
          <w:rFonts w:hint="eastAsia" w:ascii="仿宋_GB2312" w:hAnsi="Times New Roman" w:eastAsia="仿宋_GB2312" w:cs="Times New Roman"/>
          <w:color w:val="000000" w:themeColor="text1"/>
          <w:spacing w:val="2"/>
          <w:sz w:val="32"/>
          <w:szCs w:val="32"/>
          <w:lang w:eastAsia="zh-CN"/>
          <w14:textFill>
            <w14:solidFill>
              <w14:schemeClr w14:val="tx1"/>
            </w14:solidFill>
          </w14:textFill>
        </w:rPr>
        <w:t>。各项建设任务按计划有序推进，资金使用严格遵循相关管理办法，确保了专款专用和资金的安全高效运行</w:t>
      </w:r>
      <w:r>
        <w:rPr>
          <w:rFonts w:hint="eastAsia" w:ascii="仿宋_GB2312" w:hAnsi="Times New Roman" w:eastAsia="仿宋_GB2312" w:cs="Times New Roman"/>
          <w:color w:val="000000" w:themeColor="text1"/>
          <w:spacing w:val="2"/>
          <w:sz w:val="32"/>
          <w:szCs w:val="32"/>
          <w14:textFill>
            <w14:solidFill>
              <w14:schemeClr w14:val="tx1"/>
            </w14:solidFill>
          </w14:textFill>
        </w:rPr>
        <w:t>，为加快建设特色鲜明的一流海洋大学奠定了坚实基础。</w:t>
      </w:r>
    </w:p>
    <w:p w14:paraId="666D8C32">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黑体" w:hAnsi="黑体" w:eastAsia="黑体" w:cs="Times New Roman"/>
          <w:color w:val="000000" w:themeColor="text1"/>
          <w:sz w:val="32"/>
          <w:szCs w:val="32"/>
          <w14:textFill>
            <w14:solidFill>
              <w14:schemeClr w14:val="tx1"/>
            </w14:solidFill>
          </w14:textFill>
        </w:rPr>
      </w:pPr>
      <w:r>
        <w:rPr>
          <w:rFonts w:ascii="黑体" w:hAnsi="黑体" w:eastAsia="黑体" w:cs="Times New Roman"/>
          <w:color w:val="000000" w:themeColor="text1"/>
          <w:sz w:val="32"/>
          <w:szCs w:val="32"/>
          <w14:textFill>
            <w14:solidFill>
              <w14:schemeClr w14:val="tx1"/>
            </w14:solidFill>
          </w14:textFill>
        </w:rPr>
        <w:t>二、年度绩效目标完成情况</w:t>
      </w:r>
    </w:p>
    <w:p w14:paraId="417224DC">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通过支持地方高校改革发展项目的建设，主要达成以下目标：</w:t>
      </w:r>
      <w:r>
        <w:rPr>
          <w:rFonts w:hint="eastAsia" w:ascii="Times New Roman" w:hAnsi="Times New Roman" w:eastAsia="仿宋_GB2312" w:cs="Times New Roman"/>
          <w:color w:val="000000" w:themeColor="text1"/>
          <w:sz w:val="32"/>
          <w:szCs w:val="32"/>
          <w14:textFill>
            <w14:solidFill>
              <w14:schemeClr w14:val="tx1"/>
            </w14:solidFill>
          </w14:textFill>
        </w:rPr>
        <w:t>公办本科高校生均拨款水平不低于12000元的水平；推动公办本科高校双一流学校建设，学科建设达到一流学科建设目标，学科科研实验条件明显改善，人才培养能力和科学研究水平明显提升</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14:textFill>
            <w14:solidFill>
              <w14:schemeClr w14:val="tx1"/>
            </w14:solidFill>
          </w14:textFill>
        </w:rPr>
        <w:t>研究生培养规模得到进一步扩大</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14:textFill>
            <w14:solidFill>
              <w14:schemeClr w14:val="tx1"/>
            </w14:solidFill>
          </w14:textFill>
        </w:rPr>
        <w:t>支持的学科数量</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为4</w:t>
      </w:r>
      <w:r>
        <w:rPr>
          <w:rFonts w:hint="eastAsia" w:ascii="Times New Roman" w:hAnsi="Times New Roman" w:eastAsia="仿宋_GB2312" w:cs="Times New Roman"/>
          <w:color w:val="000000" w:themeColor="text1"/>
          <w:sz w:val="32"/>
          <w:szCs w:val="32"/>
          <w14:textFill>
            <w14:solidFill>
              <w14:schemeClr w14:val="tx1"/>
            </w14:solidFill>
          </w14:textFill>
        </w:rPr>
        <w:t>个（包括省"双一流"重点学科）；支持的教学实验室数量超过</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130</w:t>
      </w:r>
      <w:r>
        <w:rPr>
          <w:rFonts w:hint="eastAsia" w:ascii="Times New Roman" w:hAnsi="Times New Roman" w:eastAsia="仿宋_GB2312" w:cs="Times New Roman"/>
          <w:color w:val="000000" w:themeColor="text1"/>
          <w:sz w:val="32"/>
          <w:szCs w:val="32"/>
          <w14:textFill>
            <w14:solidFill>
              <w14:schemeClr w14:val="tx1"/>
            </w14:solidFill>
          </w14:textFill>
        </w:rPr>
        <w:t>个；支持的科研基地和实训中心数量超过</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19</w:t>
      </w:r>
      <w:r>
        <w:rPr>
          <w:rFonts w:hint="eastAsia" w:ascii="Times New Roman" w:hAnsi="Times New Roman" w:eastAsia="仿宋_GB2312" w:cs="Times New Roman"/>
          <w:color w:val="000000" w:themeColor="text1"/>
          <w:sz w:val="32"/>
          <w:szCs w:val="32"/>
          <w14:textFill>
            <w14:solidFill>
              <w14:schemeClr w14:val="tx1"/>
            </w14:solidFill>
          </w14:textFill>
        </w:rPr>
        <w:t>个；支持创新团队数量不少于10</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4</w:t>
      </w:r>
      <w:r>
        <w:rPr>
          <w:rFonts w:hint="eastAsia" w:ascii="Times New Roman" w:hAnsi="Times New Roman" w:eastAsia="仿宋_GB2312" w:cs="Times New Roman"/>
          <w:color w:val="000000" w:themeColor="text1"/>
          <w:sz w:val="32"/>
          <w:szCs w:val="32"/>
          <w14:textFill>
            <w14:solidFill>
              <w14:schemeClr w14:val="tx1"/>
            </w14:solidFill>
          </w14:textFill>
        </w:rPr>
        <w:t>个</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具体完成情况</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从</w:t>
      </w:r>
      <w:r>
        <w:rPr>
          <w:rFonts w:hint="eastAsia" w:ascii="Times New Roman" w:hAnsi="Times New Roman" w:eastAsia="仿宋_GB2312" w:cs="Times New Roman"/>
          <w:color w:val="000000" w:themeColor="text1"/>
          <w:sz w:val="32"/>
          <w:szCs w:val="32"/>
          <w14:textFill>
            <w14:solidFill>
              <w14:schemeClr w14:val="tx1"/>
            </w14:solidFill>
          </w14:textFill>
        </w:rPr>
        <w:t>科研平台和专业能力实践基地建设</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14:textFill>
            <w14:solidFill>
              <w14:schemeClr w14:val="tx1"/>
            </w14:solidFill>
          </w14:textFill>
        </w:rPr>
        <w:t>人才培养和创新团队建设</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14:textFill>
            <w14:solidFill>
              <w14:schemeClr w14:val="tx1"/>
            </w14:solidFill>
          </w14:textFill>
        </w:rPr>
        <w:t>公共服务体系建设</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14:textFill>
            <w14:solidFill>
              <w14:schemeClr w14:val="tx1"/>
            </w14:solidFill>
          </w14:textFill>
        </w:rPr>
        <w:t>学生创新发展</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14:textFill>
            <w14:solidFill>
              <w14:schemeClr w14:val="tx1"/>
            </w14:solidFill>
          </w14:textFill>
        </w:rPr>
        <w:t>学科</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及</w:t>
      </w:r>
      <w:r>
        <w:rPr>
          <w:rFonts w:hint="eastAsia" w:ascii="Times New Roman" w:hAnsi="Times New Roman" w:eastAsia="仿宋_GB2312" w:cs="Times New Roman"/>
          <w:color w:val="000000" w:themeColor="text1"/>
          <w:sz w:val="32"/>
          <w:szCs w:val="32"/>
          <w14:textFill>
            <w14:solidFill>
              <w14:schemeClr w14:val="tx1"/>
            </w14:solidFill>
          </w14:textFill>
        </w:rPr>
        <w:t>硕士学位点建设</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14:textFill>
            <w14:solidFill>
              <w14:schemeClr w14:val="tx1"/>
            </w14:solidFill>
          </w14:textFill>
        </w:rPr>
        <w:t>教学业务</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六大部分展开说明。</w:t>
      </w:r>
    </w:p>
    <w:p w14:paraId="6276229B">
      <w:pPr>
        <w:keepNext w:val="0"/>
        <w:keepLines w:val="0"/>
        <w:pageBreakBefore w:val="0"/>
        <w:numPr>
          <w:ilvl w:val="0"/>
          <w:numId w:val="1"/>
        </w:numPr>
        <w:kinsoku/>
        <w:wordWrap/>
        <w:overflowPunct/>
        <w:topLinePunct w:val="0"/>
        <w:autoSpaceDE/>
        <w:autoSpaceDN/>
        <w:bidi w:val="0"/>
        <w:adjustRightInd/>
        <w:snapToGrid/>
        <w:spacing w:beforeAutospacing="0" w:afterAutospacing="0" w:line="560" w:lineRule="exact"/>
        <w:ind w:firstLine="643" w:firstLineChars="200"/>
        <w:textAlignment w:val="auto"/>
        <w:rPr>
          <w:rFonts w:ascii="仿宋_GB2312" w:hAnsi="Times New Roman" w:eastAsia="仿宋_GB2312" w:cs="Times New Roman"/>
          <w:color w:val="000000" w:themeColor="text1"/>
          <w:sz w:val="32"/>
          <w:szCs w:val="32"/>
          <w14:textFill>
            <w14:solidFill>
              <w14:schemeClr w14:val="tx1"/>
            </w14:solidFill>
          </w14:textFill>
        </w:rPr>
      </w:pPr>
      <w:r>
        <w:rPr>
          <w:rFonts w:hint="eastAsia" w:ascii="楷体_GB2312" w:hAnsi="Times New Roman" w:eastAsia="楷体_GB2312" w:cs="Times New Roman"/>
          <w:b/>
          <w:bCs/>
          <w:color w:val="000000" w:themeColor="text1"/>
          <w:sz w:val="32"/>
          <w:szCs w:val="32"/>
          <w14:textFill>
            <w14:solidFill>
              <w14:schemeClr w14:val="tx1"/>
            </w14:solidFill>
          </w14:textFill>
        </w:rPr>
        <w:t>科研平台和专业能力实践基地建设项目。</w:t>
      </w:r>
      <w:r>
        <w:rPr>
          <w:rFonts w:ascii="Times New Roman" w:hAnsi="Times New Roman" w:eastAsia="仿宋_GB2312" w:cs="Times New Roman"/>
          <w:color w:val="000000" w:themeColor="text1"/>
          <w:sz w:val="32"/>
          <w:szCs w:val="32"/>
          <w14:textFill>
            <w14:solidFill>
              <w14:schemeClr w14:val="tx1"/>
            </w14:solidFill>
          </w14:textFill>
        </w:rPr>
        <w:t>该项目资金主要用于</w:t>
      </w:r>
      <w:r>
        <w:rPr>
          <w:rFonts w:hint="eastAsia" w:ascii="Times New Roman" w:hAnsi="Times New Roman" w:eastAsia="仿宋_GB2312" w:cs="Times New Roman"/>
          <w:color w:val="000000" w:themeColor="text1"/>
          <w:sz w:val="32"/>
          <w:szCs w:val="32"/>
          <w14:textFill>
            <w14:solidFill>
              <w14:schemeClr w14:val="tx1"/>
            </w14:solidFill>
          </w14:textFill>
        </w:rPr>
        <w:t>校级人才科研启动项目、科研平台专项</w:t>
      </w:r>
      <w:r>
        <w:rPr>
          <w:rFonts w:hint="eastAsia" w:ascii="仿宋_GB2312"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sz w:val="32"/>
          <w:szCs w:val="40"/>
        </w:rPr>
        <w:t>国家大学科技园平台建设发展专项</w:t>
      </w:r>
      <w:r>
        <w:rPr>
          <w:rFonts w:hint="eastAsia" w:ascii="仿宋_GB2312" w:hAnsi="Times New Roman" w:eastAsia="仿宋_GB2312" w:cs="Times New Roman"/>
          <w:color w:val="000000" w:themeColor="text1"/>
          <w:sz w:val="32"/>
          <w:szCs w:val="32"/>
          <w14:textFill>
            <w14:solidFill>
              <w14:schemeClr w14:val="tx1"/>
            </w14:solidFill>
          </w14:textFill>
        </w:rPr>
        <w:t>等。</w:t>
      </w:r>
    </w:p>
    <w:p w14:paraId="6325A08A">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1、校级人才科研启动项目</w:t>
      </w:r>
    </w:p>
    <w:p w14:paraId="474F4EDB">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Times New Roman" w:eastAsia="仿宋_GB2312" w:cs="Times New Roman"/>
          <w:color w:val="000000" w:themeColor="text1"/>
          <w:sz w:val="32"/>
          <w:szCs w:val="32"/>
          <w:lang w:val="en-US" w:eastAsia="zh-CN"/>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校级人才科研启动项目</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主要是用来支持落实我校引进人才和学历再提升教师的科研启动费所设置的专项，该专项的研究期限一般是3-5年。项目研究任务确定分为两种情况，一类是人事处直接与项目负责人签订协议，完成相应的科学与教学任务，一类是通过项目立项后，签订科研项目任务书，确定科研任务。其绩效目标为发表科研论文、出版著作、获批科研项目、撰写资政报告等。</w:t>
      </w:r>
    </w:p>
    <w:p w14:paraId="08AB467E">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Times New Roman" w:eastAsia="仿宋_GB2312" w:cs="Times New Roman"/>
          <w:color w:val="000000" w:themeColor="text1"/>
          <w:sz w:val="32"/>
          <w:szCs w:val="32"/>
          <w:lang w:val="en-US" w:eastAsia="zh-CN"/>
          <w14:textFill>
            <w14:solidFill>
              <w14:schemeClr w14:val="tx1"/>
            </w14:solidFill>
          </w14:textFill>
        </w:rPr>
      </w:pP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2025年度自然科学类及人文社科类校级人才科研项目共立项39项，结合自然科学类往年在研的66项自然科学类校级人才科研项目，目前共计在研项目163项。</w:t>
      </w:r>
    </w:p>
    <w:p w14:paraId="6BA0E272">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Times New Roman" w:eastAsia="仿宋_GB2312" w:cs="Times New Roman"/>
          <w:color w:val="000000" w:themeColor="text1"/>
          <w:sz w:val="32"/>
          <w:szCs w:val="32"/>
          <w:lang w:val="en-US" w:eastAsia="zh-CN"/>
          <w14:textFill>
            <w14:solidFill>
              <w14:schemeClr w14:val="tx1"/>
            </w14:solidFill>
          </w14:textFill>
        </w:rPr>
      </w:pP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依据2025年立项通知要求和</w:t>
      </w:r>
      <w:r>
        <w:rPr>
          <w:rFonts w:hint="eastAsia" w:ascii="仿宋_GB2312" w:hAnsi="Times New Roman" w:eastAsia="仿宋_GB2312" w:cs="Times New Roman"/>
          <w:color w:val="000000" w:themeColor="text1"/>
          <w:sz w:val="32"/>
          <w:szCs w:val="32"/>
          <w:lang w:eastAsia="zh-CN"/>
          <w14:textFill>
            <w14:solidFill>
              <w14:schemeClr w14:val="tx1"/>
            </w14:solidFill>
          </w14:textFill>
        </w:rPr>
        <w:t>《</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海南热带海洋学院人才科研启动项目管理办法</w:t>
      </w:r>
      <w:r>
        <w:rPr>
          <w:rFonts w:hint="eastAsia" w:ascii="仿宋_GB2312" w:hAnsi="Times New Roman" w:eastAsia="仿宋_GB2312" w:cs="Times New Roman"/>
          <w:color w:val="000000" w:themeColor="text1"/>
          <w:sz w:val="32"/>
          <w:szCs w:val="32"/>
          <w:lang w:eastAsia="zh-CN"/>
          <w14:textFill>
            <w14:solidFill>
              <w14:schemeClr w14:val="tx1"/>
            </w14:solidFill>
          </w14:textFill>
        </w:rPr>
        <w:t>》</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相关要求</w:t>
      </w:r>
      <w:r>
        <w:rPr>
          <w:rFonts w:hint="eastAsia" w:ascii="仿宋_GB2312" w:hAnsi="Times New Roman" w:eastAsia="仿宋_GB2312" w:cs="Times New Roman"/>
          <w:color w:val="000000" w:themeColor="text1"/>
          <w:sz w:val="32"/>
          <w:szCs w:val="32"/>
          <w14:textFill>
            <w14:solidFill>
              <w14:schemeClr w14:val="tx1"/>
            </w14:solidFill>
          </w14:textFill>
        </w:rPr>
        <w:t>，</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项目负责人编制</w:t>
      </w:r>
      <w:r>
        <w:rPr>
          <w:rFonts w:hint="eastAsia" w:ascii="仿宋_GB2312" w:hAnsi="Times New Roman" w:eastAsia="仿宋_GB2312" w:cs="Times New Roman"/>
          <w:color w:val="000000" w:themeColor="text1"/>
          <w:sz w:val="32"/>
          <w:szCs w:val="32"/>
          <w14:textFill>
            <w14:solidFill>
              <w14:schemeClr w14:val="tx1"/>
            </w14:solidFill>
          </w14:textFill>
        </w:rPr>
        <w:t>项目申请书</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经二级单位审核通过后，报送科学技术处（人文社科处）开展形式审查；审查通过后邀请专家开展立项评审，评审通过并公示无异议后，正式发文予以立项，项目负责人按规定时限报送任务书。根据项目年度执行计划，编制年度</w:t>
      </w:r>
      <w:r>
        <w:rPr>
          <w:rFonts w:hint="eastAsia" w:ascii="仿宋_GB2312" w:hAnsi="Times New Roman" w:eastAsia="仿宋_GB2312" w:cs="Times New Roman"/>
          <w:color w:val="000000" w:themeColor="text1"/>
          <w:sz w:val="32"/>
          <w:szCs w:val="32"/>
          <w14:textFill>
            <w14:solidFill>
              <w14:schemeClr w14:val="tx1"/>
            </w14:solidFill>
          </w14:textFill>
        </w:rPr>
        <w:t>经费预算表，</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报送科学技术处（人文社科处）和计划财务处进行审核，审核通过后方可下达年度项目经费。经费的使用</w:t>
      </w:r>
      <w:r>
        <w:rPr>
          <w:rFonts w:hint="eastAsia" w:ascii="仿宋_GB2312" w:hAnsi="Times New Roman" w:eastAsia="仿宋_GB2312" w:cs="Times New Roman"/>
          <w:color w:val="000000" w:themeColor="text1"/>
          <w:sz w:val="32"/>
          <w:szCs w:val="32"/>
          <w14:textFill>
            <w14:solidFill>
              <w14:schemeClr w14:val="tx1"/>
            </w14:solidFill>
          </w14:textFill>
        </w:rPr>
        <w:t>严格按照</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获批任务书和</w:t>
      </w:r>
      <w:r>
        <w:rPr>
          <w:rFonts w:hint="eastAsia" w:ascii="仿宋_GB2312" w:hAnsi="Times New Roman" w:eastAsia="仿宋_GB2312" w:cs="Times New Roman"/>
          <w:color w:val="000000" w:themeColor="text1"/>
          <w:sz w:val="32"/>
          <w:szCs w:val="32"/>
          <w:lang w:eastAsia="zh-CN"/>
          <w14:textFill>
            <w14:solidFill>
              <w14:schemeClr w14:val="tx1"/>
            </w14:solidFill>
          </w14:textFill>
        </w:rPr>
        <w:t>《</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海南热带海洋学院人才科研启动项目管理办法</w:t>
      </w:r>
      <w:r>
        <w:rPr>
          <w:rFonts w:hint="eastAsia" w:ascii="仿宋_GB2312" w:hAnsi="Times New Roman" w:eastAsia="仿宋_GB2312" w:cs="Times New Roman"/>
          <w:color w:val="000000" w:themeColor="text1"/>
          <w:sz w:val="32"/>
          <w:szCs w:val="32"/>
          <w:lang w:eastAsia="zh-CN"/>
          <w14:textFill>
            <w14:solidFill>
              <w14:schemeClr w14:val="tx1"/>
            </w14:solidFill>
          </w14:textFill>
        </w:rPr>
        <w:t>》</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相关</w:t>
      </w:r>
      <w:r>
        <w:rPr>
          <w:rFonts w:hint="eastAsia" w:ascii="仿宋_GB2312" w:hAnsi="Times New Roman" w:eastAsia="仿宋_GB2312" w:cs="Times New Roman"/>
          <w:color w:val="000000" w:themeColor="text1"/>
          <w:sz w:val="32"/>
          <w:szCs w:val="32"/>
          <w14:textFill>
            <w14:solidFill>
              <w14:schemeClr w14:val="tx1"/>
            </w14:solidFill>
          </w14:textFill>
        </w:rPr>
        <w:t>规定，实行专款专用。项目</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实施过程中</w:t>
      </w:r>
      <w:r>
        <w:rPr>
          <w:rFonts w:hint="eastAsia" w:ascii="仿宋_GB2312" w:hAnsi="Times New Roman" w:eastAsia="仿宋_GB2312" w:cs="Times New Roman"/>
          <w:color w:val="000000" w:themeColor="text1"/>
          <w:sz w:val="32"/>
          <w:szCs w:val="32"/>
          <w14:textFill>
            <w14:solidFill>
              <w14:schemeClr w14:val="tx1"/>
            </w14:solidFill>
          </w14:textFill>
        </w:rPr>
        <w:t>，</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严格遵照项目任务书、</w:t>
      </w:r>
      <w:r>
        <w:rPr>
          <w:rFonts w:hint="eastAsia" w:ascii="仿宋_GB2312" w:hAnsi="Times New Roman" w:eastAsia="仿宋_GB2312" w:cs="Times New Roman"/>
          <w:color w:val="000000" w:themeColor="text1"/>
          <w:sz w:val="32"/>
          <w:szCs w:val="32"/>
          <w:lang w:eastAsia="zh-CN"/>
          <w14:textFill>
            <w14:solidFill>
              <w14:schemeClr w14:val="tx1"/>
            </w14:solidFill>
          </w14:textFill>
        </w:rPr>
        <w:t>《</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海南热带海洋学院人才科研启动项目管理办法</w:t>
      </w:r>
      <w:r>
        <w:rPr>
          <w:rFonts w:hint="eastAsia" w:ascii="仿宋_GB2312" w:hAnsi="Times New Roman" w:eastAsia="仿宋_GB2312" w:cs="Times New Roman"/>
          <w:color w:val="000000" w:themeColor="text1"/>
          <w:sz w:val="32"/>
          <w:szCs w:val="32"/>
          <w:lang w:eastAsia="zh-CN"/>
          <w14:textFill>
            <w14:solidFill>
              <w14:schemeClr w14:val="tx1"/>
            </w14:solidFill>
          </w14:textFill>
        </w:rPr>
        <w:t>》</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和学校财务相关管理规定，</w:t>
      </w:r>
      <w:r>
        <w:rPr>
          <w:rFonts w:hint="eastAsia" w:ascii="仿宋_GB2312" w:hAnsi="Times New Roman" w:eastAsia="仿宋_GB2312" w:cs="Times New Roman"/>
          <w:color w:val="000000" w:themeColor="text1"/>
          <w:sz w:val="32"/>
          <w:szCs w:val="32"/>
          <w14:textFill>
            <w14:solidFill>
              <w14:schemeClr w14:val="tx1"/>
            </w14:solidFill>
          </w14:textFill>
        </w:rPr>
        <w:t>严格</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执行</w:t>
      </w:r>
      <w:r>
        <w:rPr>
          <w:rFonts w:hint="eastAsia" w:ascii="仿宋_GB2312" w:hAnsi="Times New Roman" w:eastAsia="仿宋_GB2312" w:cs="Times New Roman"/>
          <w:color w:val="000000" w:themeColor="text1"/>
          <w:sz w:val="32"/>
          <w:szCs w:val="32"/>
          <w14:textFill>
            <w14:solidFill>
              <w14:schemeClr w14:val="tx1"/>
            </w14:solidFill>
          </w14:textFill>
        </w:rPr>
        <w:t>专款专用，</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加强对</w:t>
      </w:r>
      <w:r>
        <w:rPr>
          <w:rFonts w:hint="eastAsia" w:ascii="仿宋_GB2312" w:hAnsi="Times New Roman" w:eastAsia="仿宋_GB2312" w:cs="Times New Roman"/>
          <w:color w:val="000000" w:themeColor="text1"/>
          <w:sz w:val="32"/>
          <w:szCs w:val="32"/>
          <w14:textFill>
            <w14:solidFill>
              <w14:schemeClr w14:val="tx1"/>
            </w14:solidFill>
          </w14:textFill>
        </w:rPr>
        <w:t>资金使用的</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管理和监督。项目经费到账后，严格按照任务书的进度开展各项工作。经费使用期间，项目负责人认真履行职责，按照学校要求执行经费的财务公开制度。</w:t>
      </w:r>
    </w:p>
    <w:p w14:paraId="0421C31B">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Times New Roman" w:eastAsia="仿宋_GB2312" w:cs="Times New Roman"/>
          <w:color w:val="000000" w:themeColor="text1"/>
          <w:sz w:val="32"/>
          <w:szCs w:val="32"/>
          <w:lang w:val="en-US" w:eastAsia="zh-CN"/>
          <w14:textFill>
            <w14:solidFill>
              <w14:schemeClr w14:val="tx1"/>
            </w14:solidFill>
          </w14:textFill>
        </w:rPr>
      </w:pP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本项目已完成预期绩效目标，自然科学类实际发表论文97篇、授权专利71项、专著9部，获批各类各级项目共47项；人文社科类发表论文55篇、出版专著13部，待出版著作23部。所撰写的研究报告5篇获得省领导批示或政府单位采纳证明，获专利3项，获批国家社科重大项目1项，立项金额80万元，省部级项目10项，立项金额37万元，市级项目1项，立项金额2.5万元，横向科研项目5项，立项金额40.99万元。</w:t>
      </w:r>
    </w:p>
    <w:p w14:paraId="480D5C79">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该项目涵盖基础研究、应用基础研究、应用研究等多个领域，旨在提高学校科研水平，挖掘、</w:t>
      </w:r>
      <w:r>
        <w:rPr>
          <w:rFonts w:hint="eastAsia" w:ascii="仿宋_GB2312" w:hAnsi="Times New Roman" w:eastAsia="仿宋_GB2312" w:cs="Times New Roman"/>
          <w:color w:val="000000" w:themeColor="text1"/>
          <w:sz w:val="32"/>
          <w:szCs w:val="32"/>
          <w14:textFill>
            <w14:solidFill>
              <w14:schemeClr w14:val="tx1"/>
            </w14:solidFill>
          </w14:textFill>
        </w:rPr>
        <w:t>培养</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并</w:t>
      </w:r>
      <w:r>
        <w:rPr>
          <w:rFonts w:hint="eastAsia" w:ascii="仿宋_GB2312" w:hAnsi="Times New Roman" w:eastAsia="仿宋_GB2312" w:cs="Times New Roman"/>
          <w:color w:val="000000" w:themeColor="text1"/>
          <w:sz w:val="32"/>
          <w:szCs w:val="32"/>
          <w14:textFill>
            <w14:solidFill>
              <w14:schemeClr w14:val="tx1"/>
            </w14:solidFill>
          </w14:textFill>
        </w:rPr>
        <w:t>建设一批道德素质</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优良</w:t>
      </w:r>
      <w:r>
        <w:rPr>
          <w:rFonts w:hint="eastAsia" w:ascii="仿宋_GB2312" w:hAnsi="Times New Roman" w:eastAsia="仿宋_GB2312" w:cs="Times New Roman"/>
          <w:color w:val="000000" w:themeColor="text1"/>
          <w:sz w:val="32"/>
          <w:szCs w:val="32"/>
          <w14:textFill>
            <w14:solidFill>
              <w14:schemeClr w14:val="tx1"/>
            </w14:solidFill>
          </w14:textFill>
        </w:rPr>
        <w:t>、学术基础扎实、具有突出创新能力和发展潜力的</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杰出青年科技人才。项目自启动以来，各项工作按计划有序推进，取得了阶段性成果，参与教师的科研实践能力和学术水平得到显著提升。</w:t>
      </w:r>
    </w:p>
    <w:p w14:paraId="76A195A4">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2、</w:t>
      </w:r>
      <w:r>
        <w:rPr>
          <w:rFonts w:hint="eastAsia" w:ascii="Times New Roman" w:hAnsi="Times New Roman" w:eastAsia="仿宋_GB2312" w:cs="Times New Roman"/>
          <w:color w:val="000000" w:themeColor="text1"/>
          <w:sz w:val="32"/>
          <w:szCs w:val="32"/>
          <w14:textFill>
            <w14:solidFill>
              <w14:schemeClr w14:val="tx1"/>
            </w14:solidFill>
          </w14:textFill>
        </w:rPr>
        <w:t>科研平台专项</w:t>
      </w:r>
    </w:p>
    <w:p w14:paraId="210BB966">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Times New Roman" w:eastAsia="仿宋_GB2312" w:cs="Times New Roman"/>
          <w:color w:val="000000" w:themeColor="text1"/>
          <w:sz w:val="32"/>
          <w:szCs w:val="32"/>
          <w:lang w:val="en-US" w:eastAsia="zh-CN"/>
          <w14:textFill>
            <w14:solidFill>
              <w14:schemeClr w14:val="tx1"/>
            </w14:solidFill>
          </w14:textFill>
        </w:rPr>
      </w:pP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2025年度，我校利用</w:t>
      </w:r>
      <w:r>
        <w:rPr>
          <w:rFonts w:ascii="Times New Roman" w:hAnsi="Times New Roman" w:eastAsia="仿宋_GB2312" w:cs="Times New Roman"/>
          <w:color w:val="000000" w:themeColor="text1"/>
          <w:sz w:val="32"/>
          <w:szCs w:val="32"/>
          <w14:textFill>
            <w14:solidFill>
              <w14:schemeClr w14:val="tx1"/>
            </w14:solidFill>
          </w14:textFill>
        </w:rPr>
        <w:t>支持地方高校改革发展项目</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资金，共资助19个科研平台建设，分别为热带海洋生物资源利用与保护教育部重点实验室、海南省热带海洋渔业资源保护与利用重点实验室、海南省两栖爬行动物研究重点实验室、海南省近岸海洋生态环境过程与碳汇重点实验室、海南省海洋食品工程技术研究中心、海南省现代化海洋牧场工程研究中心、海南省海洋测绘工程研究中心、蒋兴伟院士工作站、朱蓓薇院士团队创新中心、海南省海龟救护保育中心、海岛旅游资源数据挖掘与监测预警技术文化和旅游部重点实验室、海南热带海洋学院海上丝绸之路研究院、海南省民族研究基地、海南民族教育重点研究基地、海南省国际海岛休闲度假旅游研究基地、海南省自由贸易港邮轮游艇研究基地、海南省铸牢中华民族共同体意识研究基地、海南省南海文明研究基地、海南热带海洋学院东盟研究院。</w:t>
      </w:r>
    </w:p>
    <w:p w14:paraId="7A38BC81">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Times New Roman" w:eastAsia="仿宋_GB2312" w:cs="Times New Roman"/>
          <w:color w:val="000000" w:themeColor="text1"/>
          <w:sz w:val="32"/>
          <w:szCs w:val="32"/>
          <w:lang w:val="en-US" w:eastAsia="zh-CN"/>
          <w14:textFill>
            <w14:solidFill>
              <w14:schemeClr w14:val="tx1"/>
            </w14:solidFill>
          </w14:textFill>
        </w:rPr>
      </w:pP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科研平台核心目标旨在保障平台日常高效运行，支持仪器维护、材料购置、测试化验、学术交流、人才培养等，围绕海洋生物资源、生态环境、食品工程、海洋牧场、海洋测绘等方向开展系统性研究与技术创新，提升科研创新能力与学术影响力，产出一批服务区域经济社会发展的高质量成果，助力学校人文社科高质量发展，服务海洋强国、南海战略及海南自由贸易港建设。</w:t>
      </w:r>
    </w:p>
    <w:p w14:paraId="299E3FC8">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Times New Roman" w:eastAsia="仿宋_GB2312" w:cs="Times New Roman"/>
          <w:color w:val="000000" w:themeColor="text1"/>
          <w:sz w:val="32"/>
          <w:szCs w:val="32"/>
          <w:lang w:val="en-US" w:eastAsia="zh-CN"/>
          <w14:textFill>
            <w14:solidFill>
              <w14:schemeClr w14:val="tx1"/>
            </w14:solidFill>
          </w14:textFill>
        </w:rPr>
      </w:pPr>
      <w:bookmarkStart w:id="0" w:name="_Hlk156507489"/>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所有项目均严格执行《中央财政支持地方高校发展专项资金管理办法》及学校相关财务、科研管理制度，实行专款专用、规范审批。部分平台（如教育部重点实验室、院士工作站等）建立了任务分解、目标到人的管理责任制。</w:t>
      </w:r>
    </w:p>
    <w:p w14:paraId="206E8E07">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Times New Roman" w:eastAsia="仿宋_GB2312" w:cs="Times New Roman"/>
          <w:color w:val="000000" w:themeColor="text1"/>
          <w:sz w:val="32"/>
          <w:szCs w:val="32"/>
          <w:lang w:val="en-US" w:eastAsia="zh-CN"/>
          <w14:textFill>
            <w14:solidFill>
              <w14:schemeClr w14:val="tx1"/>
            </w14:solidFill>
          </w14:textFill>
        </w:rPr>
      </w:pP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自然科学类各平台累计新增科研项目60余项，发表SCI/EI/核心论文超100篇、申请/授权发明专利40余项、出版专著多部；累计培养本科生超700人、研究生超70人；培训行业技术人才数百人次；海龟救护中心成功救护并放归海龟，社会影响广泛；研究成果直接支撑了南海渔业资源保护、海洋生态修复、海洋牧场建设、海洋测绘技术应用及地方产业发展需求。人文社科类平台中海岛旅游资源重点实验室通过文旅部验收；海上丝绸之路研究院被认定为海南省重点智库；</w:t>
      </w:r>
      <w:r>
        <w:rPr>
          <w:rFonts w:hint="eastAsia" w:ascii="Times New Roman" w:hAnsi="Times New Roman" w:eastAsia="仿宋_GB2312" w:cs="Times New Roman"/>
          <w:color w:val="auto"/>
          <w:sz w:val="32"/>
          <w:szCs w:val="32"/>
          <w:lang w:eastAsia="zh-CN"/>
        </w:rPr>
        <w:t>全国唯一的高校</w:t>
      </w:r>
      <w:r>
        <w:rPr>
          <w:rFonts w:hint="default" w:ascii="Times New Roman" w:hAnsi="Times New Roman" w:eastAsia="仿宋_GB2312" w:cs="Times New Roman"/>
          <w:color w:val="auto"/>
          <w:sz w:val="32"/>
          <w:szCs w:val="32"/>
        </w:rPr>
        <w:t>海洋牧场教学科研示范基地验收通过</w:t>
      </w:r>
      <w:r>
        <w:rPr>
          <w:rFonts w:hint="eastAsia" w:ascii="Times New Roman" w:hAnsi="Times New Roman" w:eastAsia="仿宋_GB2312" w:cs="Times New Roman"/>
          <w:color w:val="auto"/>
          <w:sz w:val="32"/>
          <w:szCs w:val="32"/>
          <w:lang w:eastAsia="zh-CN"/>
        </w:rPr>
        <w:t>；</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铸牢中华民族共同体意识研究基地获国家社科基金重大项目立项。各平台累计立项科研项目40余项，发表论文120余篇，出版著作10余部，获得批示的研究报告10余篇，获得多项科研成果奖励。同时积极开展横向项目和社会服务，研究成果为地方政府决策提供了重要参考，学术会议活跃了科研氛围。</w:t>
      </w:r>
    </w:p>
    <w:p w14:paraId="30010A50">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3、</w:t>
      </w:r>
      <w:r>
        <w:rPr>
          <w:rFonts w:hint="default" w:ascii="Times New Roman" w:hAnsi="Times New Roman" w:eastAsia="仿宋_GB2312" w:cs="Times New Roman"/>
          <w:sz w:val="32"/>
          <w:szCs w:val="40"/>
        </w:rPr>
        <w:t>国家大学科技园平台建设发展专项</w:t>
      </w:r>
    </w:p>
    <w:p w14:paraId="4BD3D8B6">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Times New Roman" w:eastAsia="仿宋_GB2312" w:cs="Times New Roman"/>
          <w:color w:val="000000" w:themeColor="text1"/>
          <w:sz w:val="32"/>
          <w:szCs w:val="32"/>
          <w:lang w:val="en-US" w:eastAsia="zh-CN"/>
          <w14:textFill>
            <w14:solidFill>
              <w14:schemeClr w14:val="tx1"/>
            </w14:solidFill>
          </w14:textFill>
        </w:rPr>
      </w:pPr>
      <w:r>
        <w:rPr>
          <w:rFonts w:hint="default" w:ascii="仿宋_GB2312" w:hAnsi="Times New Roman" w:eastAsia="仿宋_GB2312" w:cs="Times New Roman"/>
          <w:color w:val="000000" w:themeColor="text1"/>
          <w:sz w:val="32"/>
          <w:szCs w:val="32"/>
          <w:lang w:val="en-US" w:eastAsia="zh-CN"/>
          <w14:textFill>
            <w14:solidFill>
              <w14:schemeClr w14:val="tx1"/>
            </w14:solidFill>
          </w14:textFill>
        </w:rPr>
        <w:t>海南热带海洋学院国家大学科技园获批成立于2015年，是三亚市唯一的国家大学科技园</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，园区面积15000平方米</w:t>
      </w:r>
      <w:r>
        <w:rPr>
          <w:rFonts w:hint="default" w:ascii="仿宋_GB2312" w:hAnsi="Times New Roman" w:eastAsia="仿宋_GB2312" w:cs="Times New Roman"/>
          <w:color w:val="000000" w:themeColor="text1"/>
          <w:sz w:val="32"/>
          <w:szCs w:val="32"/>
          <w:lang w:val="en-US" w:eastAsia="zh-CN"/>
          <w14:textFill>
            <w14:solidFill>
              <w14:schemeClr w14:val="tx1"/>
            </w14:solidFill>
          </w14:textFill>
        </w:rPr>
        <w:t>。</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根据海南省</w:t>
      </w:r>
      <w:r>
        <w:rPr>
          <w:rFonts w:hint="default" w:ascii="仿宋_GB2312" w:hAnsi="Times New Roman" w:eastAsia="仿宋_GB2312" w:cs="Times New Roman"/>
          <w:color w:val="000000" w:themeColor="text1"/>
          <w:sz w:val="32"/>
          <w:szCs w:val="32"/>
          <w:lang w:val="en-US" w:eastAsia="zh-CN"/>
          <w14:textFill>
            <w14:solidFill>
              <w14:schemeClr w14:val="tx1"/>
            </w14:solidFill>
          </w14:textFill>
        </w:rPr>
        <w:t>《支持三亚崖州湾科技城加快培育发展新质生产力 打造科教融汇示范区实施方案》文件</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要求</w:t>
      </w:r>
      <w:r>
        <w:rPr>
          <w:rFonts w:hint="default" w:ascii="仿宋_GB2312" w:hAnsi="Times New Roman" w:eastAsia="仿宋_GB2312" w:cs="Times New Roman"/>
          <w:color w:val="000000" w:themeColor="text1"/>
          <w:sz w:val="32"/>
          <w:szCs w:val="32"/>
          <w:lang w:val="en-US" w:eastAsia="zh-CN"/>
          <w14:textFill>
            <w14:solidFill>
              <w14:schemeClr w14:val="tx1"/>
            </w14:solidFill>
          </w14:textFill>
        </w:rPr>
        <w:t>，支持我校国家大学科技园落户崖州湾科技城高新区</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，加快“一园两区”发展建设。按照</w:t>
      </w:r>
      <w:r>
        <w:rPr>
          <w:rFonts w:hint="default" w:ascii="仿宋_GB2312" w:hAnsi="Times New Roman" w:eastAsia="仿宋_GB2312" w:cs="Times New Roman"/>
          <w:color w:val="000000" w:themeColor="text1"/>
          <w:sz w:val="32"/>
          <w:szCs w:val="32"/>
          <w:lang w:val="en-US" w:eastAsia="zh-CN"/>
          <w14:textFill>
            <w14:solidFill>
              <w14:schemeClr w14:val="tx1"/>
            </w14:solidFill>
          </w14:textFill>
        </w:rPr>
        <w:t>中央科技委和教育部关于国家大学科技园</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建设</w:t>
      </w:r>
      <w:r>
        <w:rPr>
          <w:rFonts w:hint="default" w:ascii="仿宋_GB2312" w:hAnsi="Times New Roman" w:eastAsia="仿宋_GB2312" w:cs="Times New Roman"/>
          <w:color w:val="000000" w:themeColor="text1"/>
          <w:sz w:val="32"/>
          <w:szCs w:val="32"/>
          <w:lang w:val="en-US" w:eastAsia="zh-CN"/>
          <w14:textFill>
            <w14:solidFill>
              <w14:schemeClr w14:val="tx1"/>
            </w14:solidFill>
          </w14:textFill>
        </w:rPr>
        <w:t>的</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相关</w:t>
      </w:r>
      <w:r>
        <w:rPr>
          <w:rFonts w:hint="default" w:ascii="仿宋_GB2312" w:hAnsi="Times New Roman" w:eastAsia="仿宋_GB2312" w:cs="Times New Roman"/>
          <w:color w:val="000000" w:themeColor="text1"/>
          <w:sz w:val="32"/>
          <w:szCs w:val="32"/>
          <w:lang w:val="en-US" w:eastAsia="zh-CN"/>
          <w14:textFill>
            <w14:solidFill>
              <w14:schemeClr w14:val="tx1"/>
            </w14:solidFill>
          </w14:textFill>
        </w:rPr>
        <w:t>要求</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，进行科技园优化重塑工作。</w:t>
      </w:r>
    </w:p>
    <w:p w14:paraId="743FB651">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Times New Roman" w:eastAsia="仿宋_GB2312" w:cs="Times New Roman"/>
          <w:color w:val="000000" w:themeColor="text1"/>
          <w:sz w:val="32"/>
          <w:szCs w:val="32"/>
          <w:lang w:val="en-US" w:eastAsia="zh-CN"/>
          <w14:textFill>
            <w14:solidFill>
              <w14:schemeClr w14:val="tx1"/>
            </w14:solidFill>
          </w14:textFill>
        </w:rPr>
      </w:pP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国家大学科技园平台建设发展项目获得2025年中央财政支持地方高校改革发展资金资助，建设周期为1年，总投资100万元。主要建设内容有编制科技园发展规划，指导科技园运营机构开展科技成果转化、科技企业孵化、双创人才培养等工作。项目实施完成后，国家大学科技园建设</w:t>
      </w:r>
      <w:r>
        <w:rPr>
          <w:rFonts w:ascii="Times New Roman" w:hAnsi="Times New Roman" w:eastAsia="仿宋_GB2312" w:cs="Times New Roman"/>
          <w:color w:val="auto"/>
          <w:sz w:val="32"/>
          <w:szCs w:val="32"/>
        </w:rPr>
        <w:t>推动“一园两区”协同发展模式</w:t>
      </w:r>
      <w:r>
        <w:rPr>
          <w:rFonts w:hint="default" w:ascii="Times New Roman" w:hAnsi="Times New Roman" w:eastAsia="仿宋_GB2312" w:cs="Times New Roman"/>
          <w:color w:val="auto"/>
          <w:sz w:val="32"/>
          <w:szCs w:val="32"/>
        </w:rPr>
        <w:t>，</w:t>
      </w:r>
      <w:r>
        <w:rPr>
          <w:rFonts w:ascii="Times New Roman" w:hAnsi="Times New Roman" w:eastAsia="仿宋_GB2312" w:cs="Times New Roman"/>
          <w:color w:val="auto"/>
          <w:sz w:val="32"/>
          <w:szCs w:val="32"/>
        </w:rPr>
        <w:t>年度考核获“双优”</w:t>
      </w:r>
      <w:r>
        <w:rPr>
          <w:rFonts w:hint="eastAsia" w:ascii="Times New Roman" w:hAnsi="Times New Roman" w:eastAsia="仿宋_GB2312" w:cs="Times New Roman"/>
          <w:color w:val="auto"/>
          <w:sz w:val="32"/>
          <w:szCs w:val="32"/>
          <w:lang w:eastAsia="zh-CN"/>
        </w:rPr>
        <w:t>，</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为其高质量发展提高提供良好条件，有效完成2025年度国家大学科技园平台建设任务。</w:t>
      </w:r>
    </w:p>
    <w:p w14:paraId="3681961F">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Times New Roman" w:eastAsia="仿宋_GB2312" w:cs="Times New Roman"/>
          <w:color w:val="000000" w:themeColor="text1"/>
          <w:sz w:val="32"/>
          <w:szCs w:val="32"/>
          <w:lang w:val="en-US" w:eastAsia="zh-CN"/>
          <w14:textFill>
            <w14:solidFill>
              <w14:schemeClr w14:val="tx1"/>
            </w14:solidFill>
          </w14:textFill>
        </w:rPr>
      </w:pP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在项目执行过程中，严格对项目经费实行专款专用，强化资金使用的监督，包括制定年度经费使用前预算和计划、经费使用过程中预算执行情况和程序的监督、经费使用后支出内容合理、合法性的审核监督等。确保了资金的使用效率和项目的顺利实施。为合法、合规使用项目资金，严格执行学校财务管理的相关规定。</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722F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14:paraId="611B562D">
            <w:pPr>
              <w:keepNext w:val="0"/>
              <w:keepLines w:val="0"/>
              <w:pageBreakBefore w:val="0"/>
              <w:kinsoku/>
              <w:wordWrap/>
              <w:overflowPunct/>
              <w:topLinePunct w:val="0"/>
              <w:autoSpaceDE/>
              <w:autoSpaceDN/>
              <w:bidi w:val="0"/>
              <w:adjustRightInd/>
              <w:snapToGrid/>
              <w:spacing w:beforeAutospacing="0" w:afterAutospacing="0" w:line="560" w:lineRule="exact"/>
              <w:jc w:val="center"/>
              <w:textAlignment w:val="auto"/>
              <w:rPr>
                <w:rFonts w:hint="eastAsia" w:ascii="仿宋" w:hAnsi="仿宋" w:eastAsia="仿宋"/>
                <w:b/>
                <w:bCs/>
                <w:sz w:val="28"/>
                <w:szCs w:val="28"/>
              </w:rPr>
            </w:pPr>
            <w:r>
              <w:rPr>
                <w:rFonts w:hint="eastAsia" w:ascii="仿宋" w:hAnsi="仿宋" w:eastAsia="仿宋"/>
                <w:b/>
                <w:bCs/>
                <w:sz w:val="28"/>
                <w:szCs w:val="28"/>
                <w:lang w:val="en-US" w:eastAsia="zh-CN"/>
              </w:rPr>
              <w:t>设定的</w:t>
            </w:r>
            <w:r>
              <w:rPr>
                <w:rFonts w:hint="eastAsia" w:ascii="仿宋" w:hAnsi="仿宋" w:eastAsia="仿宋"/>
                <w:b/>
                <w:bCs/>
                <w:sz w:val="28"/>
                <w:szCs w:val="28"/>
              </w:rPr>
              <w:t>绩效目标</w:t>
            </w:r>
          </w:p>
        </w:tc>
        <w:tc>
          <w:tcPr>
            <w:tcW w:w="4261" w:type="dxa"/>
          </w:tcPr>
          <w:p w14:paraId="70C5E000">
            <w:pPr>
              <w:keepNext w:val="0"/>
              <w:keepLines w:val="0"/>
              <w:pageBreakBefore w:val="0"/>
              <w:kinsoku/>
              <w:wordWrap/>
              <w:overflowPunct/>
              <w:topLinePunct w:val="0"/>
              <w:autoSpaceDE/>
              <w:autoSpaceDN/>
              <w:bidi w:val="0"/>
              <w:adjustRightInd/>
              <w:snapToGrid/>
              <w:spacing w:beforeAutospacing="0" w:afterAutospacing="0" w:line="560" w:lineRule="exact"/>
              <w:jc w:val="center"/>
              <w:textAlignment w:val="auto"/>
              <w:rPr>
                <w:rFonts w:hint="eastAsia" w:ascii="仿宋" w:hAnsi="仿宋" w:eastAsia="仿宋"/>
                <w:b/>
                <w:bCs/>
                <w:sz w:val="28"/>
                <w:szCs w:val="28"/>
              </w:rPr>
            </w:pPr>
            <w:r>
              <w:rPr>
                <w:rFonts w:hint="eastAsia" w:ascii="仿宋" w:hAnsi="仿宋" w:eastAsia="仿宋"/>
                <w:b/>
                <w:bCs/>
                <w:sz w:val="28"/>
                <w:szCs w:val="28"/>
              </w:rPr>
              <w:t>完成绩效目标</w:t>
            </w:r>
          </w:p>
        </w:tc>
      </w:tr>
      <w:tr w14:paraId="7B9C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14:paraId="1C235851">
            <w:pPr>
              <w:keepNext w:val="0"/>
              <w:keepLines w:val="0"/>
              <w:pageBreakBefore w:val="0"/>
              <w:kinsoku/>
              <w:wordWrap/>
              <w:overflowPunct/>
              <w:topLinePunct w:val="0"/>
              <w:autoSpaceDE/>
              <w:autoSpaceDN/>
              <w:bidi w:val="0"/>
              <w:adjustRightInd/>
              <w:snapToGrid/>
              <w:spacing w:beforeAutospacing="0" w:afterAutospacing="0" w:line="560" w:lineRule="exact"/>
              <w:textAlignment w:val="auto"/>
              <w:rPr>
                <w:rFonts w:hint="eastAsia" w:ascii="仿宋" w:hAnsi="仿宋" w:eastAsia="仿宋"/>
                <w:sz w:val="28"/>
                <w:szCs w:val="28"/>
                <w:lang w:eastAsia="zh-CN"/>
              </w:rPr>
            </w:pPr>
            <w:r>
              <w:rPr>
                <w:rFonts w:hint="eastAsia" w:ascii="仿宋" w:hAnsi="仿宋" w:eastAsia="仿宋"/>
                <w:sz w:val="28"/>
                <w:szCs w:val="28"/>
                <w:lang w:val="en-US" w:eastAsia="zh-CN"/>
              </w:rPr>
              <w:t>1.</w:t>
            </w:r>
            <w:r>
              <w:rPr>
                <w:rFonts w:hint="eastAsia" w:ascii="仿宋" w:hAnsi="仿宋" w:eastAsia="仿宋"/>
                <w:sz w:val="28"/>
                <w:szCs w:val="28"/>
              </w:rPr>
              <w:t>建设2个概念验证（中试）平台；开展不少于4项概念验证（中试）服务</w:t>
            </w:r>
            <w:r>
              <w:rPr>
                <w:rFonts w:hint="eastAsia" w:ascii="仿宋" w:hAnsi="仿宋" w:eastAsia="仿宋"/>
                <w:sz w:val="28"/>
                <w:szCs w:val="28"/>
                <w:lang w:eastAsia="zh-CN"/>
              </w:rPr>
              <w:t>。</w:t>
            </w:r>
          </w:p>
        </w:tc>
        <w:tc>
          <w:tcPr>
            <w:tcW w:w="4261" w:type="dxa"/>
          </w:tcPr>
          <w:p w14:paraId="228B6E5E">
            <w:pPr>
              <w:keepNext w:val="0"/>
              <w:keepLines w:val="0"/>
              <w:pageBreakBefore w:val="0"/>
              <w:kinsoku/>
              <w:wordWrap/>
              <w:overflowPunct/>
              <w:topLinePunct w:val="0"/>
              <w:autoSpaceDE/>
              <w:autoSpaceDN/>
              <w:bidi w:val="0"/>
              <w:adjustRightInd/>
              <w:snapToGrid/>
              <w:spacing w:beforeAutospacing="0" w:afterAutospacing="0" w:line="560" w:lineRule="exact"/>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1.立项2个概念验证培育孵化项目；开展4</w:t>
            </w:r>
            <w:r>
              <w:rPr>
                <w:rFonts w:hint="eastAsia" w:ascii="仿宋" w:hAnsi="仿宋" w:eastAsia="仿宋"/>
                <w:sz w:val="28"/>
                <w:szCs w:val="28"/>
              </w:rPr>
              <w:t>项概念验证（中试）服务</w:t>
            </w:r>
            <w:r>
              <w:rPr>
                <w:rFonts w:hint="eastAsia" w:ascii="仿宋" w:hAnsi="仿宋" w:eastAsia="仿宋"/>
                <w:sz w:val="28"/>
                <w:szCs w:val="28"/>
                <w:lang w:val="en-US" w:eastAsia="zh-CN"/>
              </w:rPr>
              <w:t>。</w:t>
            </w:r>
          </w:p>
        </w:tc>
      </w:tr>
      <w:tr w14:paraId="45D1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14:paraId="7EF006C6">
            <w:pPr>
              <w:keepNext w:val="0"/>
              <w:keepLines w:val="0"/>
              <w:pageBreakBefore w:val="0"/>
              <w:kinsoku/>
              <w:wordWrap/>
              <w:overflowPunct/>
              <w:topLinePunct w:val="0"/>
              <w:autoSpaceDE/>
              <w:autoSpaceDN/>
              <w:bidi w:val="0"/>
              <w:adjustRightInd/>
              <w:snapToGrid/>
              <w:spacing w:beforeAutospacing="0" w:afterAutospacing="0" w:line="560" w:lineRule="exact"/>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2.</w:t>
            </w:r>
            <w:r>
              <w:rPr>
                <w:rFonts w:hint="eastAsia" w:ascii="仿宋" w:hAnsi="仿宋" w:eastAsia="仿宋"/>
                <w:sz w:val="28"/>
                <w:szCs w:val="28"/>
              </w:rPr>
              <w:t>新增师生创业企业不少于10家、就业岗位10-20名</w:t>
            </w:r>
            <w:r>
              <w:rPr>
                <w:rFonts w:hint="eastAsia" w:ascii="仿宋" w:hAnsi="仿宋" w:eastAsia="仿宋"/>
                <w:sz w:val="28"/>
                <w:szCs w:val="28"/>
                <w:lang w:eastAsia="zh-CN"/>
              </w:rPr>
              <w:t>。</w:t>
            </w:r>
          </w:p>
        </w:tc>
        <w:tc>
          <w:tcPr>
            <w:tcW w:w="4261" w:type="dxa"/>
          </w:tcPr>
          <w:p w14:paraId="350E39AF">
            <w:pPr>
              <w:keepNext w:val="0"/>
              <w:keepLines w:val="0"/>
              <w:pageBreakBefore w:val="0"/>
              <w:kinsoku/>
              <w:wordWrap/>
              <w:overflowPunct/>
              <w:topLinePunct w:val="0"/>
              <w:autoSpaceDE/>
              <w:autoSpaceDN/>
              <w:bidi w:val="0"/>
              <w:adjustRightInd/>
              <w:snapToGrid/>
              <w:spacing w:beforeAutospacing="0" w:afterAutospacing="0" w:line="560" w:lineRule="exact"/>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2.立项10个创业实训孵化培育项目；新增师生创业20家、就业岗位20个。</w:t>
            </w:r>
          </w:p>
        </w:tc>
      </w:tr>
      <w:tr w14:paraId="7207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14:paraId="1BDFD031">
            <w:pPr>
              <w:keepNext w:val="0"/>
              <w:keepLines w:val="0"/>
              <w:pageBreakBefore w:val="0"/>
              <w:kinsoku/>
              <w:wordWrap/>
              <w:overflowPunct/>
              <w:topLinePunct w:val="0"/>
              <w:autoSpaceDE/>
              <w:autoSpaceDN/>
              <w:bidi w:val="0"/>
              <w:adjustRightInd/>
              <w:snapToGrid/>
              <w:spacing w:beforeAutospacing="0" w:afterAutospacing="0" w:line="560" w:lineRule="exact"/>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3.</w:t>
            </w:r>
            <w:r>
              <w:rPr>
                <w:rFonts w:hint="eastAsia" w:ascii="仿宋" w:hAnsi="仿宋" w:eastAsia="仿宋"/>
                <w:sz w:val="28"/>
                <w:szCs w:val="28"/>
              </w:rPr>
              <w:t>20人以上导师、10-15场次创业沙龙、协办一次创新创业赛事活动。</w:t>
            </w:r>
          </w:p>
        </w:tc>
        <w:tc>
          <w:tcPr>
            <w:tcW w:w="4261" w:type="dxa"/>
          </w:tcPr>
          <w:p w14:paraId="14A60120">
            <w:pPr>
              <w:keepNext w:val="0"/>
              <w:keepLines w:val="0"/>
              <w:pageBreakBefore w:val="0"/>
              <w:kinsoku/>
              <w:wordWrap/>
              <w:overflowPunct/>
              <w:topLinePunct w:val="0"/>
              <w:autoSpaceDE/>
              <w:autoSpaceDN/>
              <w:bidi w:val="0"/>
              <w:adjustRightInd/>
              <w:snapToGrid/>
              <w:spacing w:beforeAutospacing="0" w:afterAutospacing="0" w:line="560" w:lineRule="exact"/>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3.聘请双创导师及技术经理人25人；举办智海双创沙龙5次，创新创业、教育培训、论坛等活动10余次；举办创新创业赛事活动1次。</w:t>
            </w:r>
          </w:p>
        </w:tc>
      </w:tr>
      <w:tr w14:paraId="26DD4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14:paraId="5770E183">
            <w:pPr>
              <w:keepNext w:val="0"/>
              <w:keepLines w:val="0"/>
              <w:pageBreakBefore w:val="0"/>
              <w:kinsoku/>
              <w:wordWrap/>
              <w:overflowPunct/>
              <w:topLinePunct w:val="0"/>
              <w:autoSpaceDE/>
              <w:autoSpaceDN/>
              <w:bidi w:val="0"/>
              <w:adjustRightInd/>
              <w:snapToGrid/>
              <w:spacing w:beforeAutospacing="0" w:afterAutospacing="0" w:line="560" w:lineRule="exact"/>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4.</w:t>
            </w:r>
            <w:r>
              <w:rPr>
                <w:rFonts w:hint="eastAsia" w:ascii="仿宋" w:hAnsi="仿宋" w:eastAsia="仿宋"/>
                <w:sz w:val="28"/>
                <w:szCs w:val="28"/>
              </w:rPr>
              <w:t>组织参加或开展技术经理人培训、创业培训，培训不少于40人次</w:t>
            </w:r>
            <w:r>
              <w:rPr>
                <w:rFonts w:hint="eastAsia" w:ascii="仿宋" w:hAnsi="仿宋" w:eastAsia="仿宋"/>
                <w:sz w:val="28"/>
                <w:szCs w:val="28"/>
                <w:lang w:eastAsia="zh-CN"/>
              </w:rPr>
              <w:t>。</w:t>
            </w:r>
          </w:p>
        </w:tc>
        <w:tc>
          <w:tcPr>
            <w:tcW w:w="4261" w:type="dxa"/>
          </w:tcPr>
          <w:p w14:paraId="7844C499">
            <w:pPr>
              <w:keepNext w:val="0"/>
              <w:keepLines w:val="0"/>
              <w:pageBreakBefore w:val="0"/>
              <w:kinsoku/>
              <w:wordWrap/>
              <w:overflowPunct/>
              <w:topLinePunct w:val="0"/>
              <w:autoSpaceDE/>
              <w:autoSpaceDN/>
              <w:bidi w:val="0"/>
              <w:adjustRightInd/>
              <w:snapToGrid/>
              <w:spacing w:beforeAutospacing="0" w:afterAutospacing="0" w:line="560" w:lineRule="exact"/>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4.组织参加技术经理人培训9人次，3人获得“高级技术经理人”资格；组织学生参加创业培训70余人次。</w:t>
            </w:r>
          </w:p>
        </w:tc>
      </w:tr>
      <w:tr w14:paraId="1B9AF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14:paraId="4F60069D">
            <w:pPr>
              <w:keepNext w:val="0"/>
              <w:keepLines w:val="0"/>
              <w:pageBreakBefore w:val="0"/>
              <w:kinsoku/>
              <w:wordWrap/>
              <w:overflowPunct/>
              <w:topLinePunct w:val="0"/>
              <w:autoSpaceDE/>
              <w:autoSpaceDN/>
              <w:bidi w:val="0"/>
              <w:adjustRightInd/>
              <w:snapToGrid/>
              <w:spacing w:beforeAutospacing="0" w:afterAutospacing="0" w:line="560" w:lineRule="exact"/>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5.</w:t>
            </w:r>
            <w:r>
              <w:rPr>
                <w:rFonts w:hint="eastAsia" w:ascii="仿宋" w:hAnsi="仿宋" w:eastAsia="仿宋"/>
                <w:sz w:val="28"/>
                <w:szCs w:val="28"/>
              </w:rPr>
              <w:t>参加会议、调研省外国家大学科技园、其他</w:t>
            </w:r>
            <w:r>
              <w:rPr>
                <w:rFonts w:hint="eastAsia" w:ascii="仿宋" w:hAnsi="仿宋" w:eastAsia="仿宋"/>
                <w:sz w:val="28"/>
                <w:szCs w:val="28"/>
                <w:lang w:eastAsia="zh-CN"/>
              </w:rPr>
              <w:t>。</w:t>
            </w:r>
          </w:p>
        </w:tc>
        <w:tc>
          <w:tcPr>
            <w:tcW w:w="4261" w:type="dxa"/>
          </w:tcPr>
          <w:p w14:paraId="4D148FE0">
            <w:pPr>
              <w:keepNext w:val="0"/>
              <w:keepLines w:val="0"/>
              <w:pageBreakBefore w:val="0"/>
              <w:kinsoku/>
              <w:wordWrap/>
              <w:overflowPunct/>
              <w:topLinePunct w:val="0"/>
              <w:autoSpaceDE/>
              <w:autoSpaceDN/>
              <w:bidi w:val="0"/>
              <w:adjustRightInd/>
              <w:snapToGrid/>
              <w:spacing w:beforeAutospacing="0" w:afterAutospacing="0" w:line="560" w:lineRule="exact"/>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5.调研中山大学、佛山大学、肇庆学院等3家省外国家大学科技园；参加科技园建设相关会议。</w:t>
            </w:r>
          </w:p>
        </w:tc>
      </w:tr>
      <w:tr w14:paraId="01039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14:paraId="71FAE2A3">
            <w:pPr>
              <w:keepNext w:val="0"/>
              <w:keepLines w:val="0"/>
              <w:pageBreakBefore w:val="0"/>
              <w:kinsoku/>
              <w:wordWrap/>
              <w:overflowPunct/>
              <w:topLinePunct w:val="0"/>
              <w:autoSpaceDE/>
              <w:autoSpaceDN/>
              <w:bidi w:val="0"/>
              <w:adjustRightInd/>
              <w:snapToGrid/>
              <w:spacing w:beforeAutospacing="0" w:afterAutospacing="0" w:line="560" w:lineRule="exact"/>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6.</w:t>
            </w:r>
            <w:r>
              <w:rPr>
                <w:rFonts w:hint="eastAsia" w:ascii="仿宋" w:hAnsi="仿宋" w:eastAsia="仿宋"/>
                <w:sz w:val="28"/>
                <w:szCs w:val="28"/>
              </w:rPr>
              <w:t>科技园平台宣传</w:t>
            </w:r>
            <w:r>
              <w:rPr>
                <w:rFonts w:hint="eastAsia" w:ascii="仿宋" w:hAnsi="仿宋" w:eastAsia="仿宋"/>
                <w:sz w:val="28"/>
                <w:szCs w:val="28"/>
                <w:lang w:eastAsia="zh-CN"/>
              </w:rPr>
              <w:t>。</w:t>
            </w:r>
          </w:p>
        </w:tc>
        <w:tc>
          <w:tcPr>
            <w:tcW w:w="4261" w:type="dxa"/>
          </w:tcPr>
          <w:p w14:paraId="0C84C442">
            <w:pPr>
              <w:keepNext w:val="0"/>
              <w:keepLines w:val="0"/>
              <w:pageBreakBefore w:val="0"/>
              <w:kinsoku/>
              <w:wordWrap/>
              <w:overflowPunct/>
              <w:topLinePunct w:val="0"/>
              <w:autoSpaceDE/>
              <w:autoSpaceDN/>
              <w:bidi w:val="0"/>
              <w:adjustRightInd/>
              <w:snapToGrid/>
              <w:spacing w:beforeAutospacing="0" w:afterAutospacing="0" w:line="560" w:lineRule="exact"/>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6.国家大学科技园网站及公众号恢复运营。</w:t>
            </w:r>
          </w:p>
        </w:tc>
      </w:tr>
      <w:bookmarkEnd w:id="0"/>
    </w:tbl>
    <w:p w14:paraId="2491B4BD">
      <w:pPr>
        <w:keepNext w:val="0"/>
        <w:keepLines w:val="0"/>
        <w:pageBreakBefore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楷体_GB2312" w:hAnsi="Times New Roman" w:eastAsia="楷体_GB2312" w:cs="Times New Roman"/>
          <w:b/>
          <w:bCs/>
          <w:color w:val="000000" w:themeColor="text1"/>
          <w:sz w:val="32"/>
          <w:szCs w:val="32"/>
          <w14:textFill>
            <w14:solidFill>
              <w14:schemeClr w14:val="tx1"/>
            </w14:solidFill>
          </w14:textFill>
        </w:rPr>
      </w:pPr>
      <w:r>
        <w:rPr>
          <w:rFonts w:hint="eastAsia" w:ascii="楷体_GB2312" w:hAnsi="Times New Roman" w:eastAsia="楷体_GB2312" w:cs="Times New Roman"/>
          <w:b/>
          <w:bCs/>
          <w:color w:val="000000" w:themeColor="text1"/>
          <w:sz w:val="32"/>
          <w:szCs w:val="32"/>
          <w14:textFill>
            <w14:solidFill>
              <w14:schemeClr w14:val="tx1"/>
            </w14:solidFill>
          </w14:textFill>
        </w:rPr>
        <w:t>（二）人才培养和创新团队建设项目。</w:t>
      </w:r>
    </w:p>
    <w:p w14:paraId="0860E4E0">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Times New Roman" w:eastAsia="仿宋_GB2312" w:cs="Times New Roman"/>
          <w:color w:val="000000" w:themeColor="text1"/>
          <w:sz w:val="32"/>
          <w:szCs w:val="32"/>
          <w:lang w:eastAsia="zh-CN"/>
          <w14:textFill>
            <w14:solidFill>
              <w14:schemeClr w14:val="tx1"/>
            </w14:solidFill>
          </w14:textFill>
        </w:rPr>
      </w:pP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1.党员干部教育培训项目。</w:t>
      </w:r>
      <w:r>
        <w:rPr>
          <w:rFonts w:hint="eastAsia" w:ascii="仿宋_GB2312" w:hAnsi="Times New Roman" w:eastAsia="仿宋_GB2312" w:cs="Times New Roman"/>
          <w:color w:val="000000" w:themeColor="text1"/>
          <w:sz w:val="32"/>
          <w:szCs w:val="32"/>
          <w:lang w:eastAsia="zh-CN"/>
          <w14:textFill>
            <w14:solidFill>
              <w14:schemeClr w14:val="tx1"/>
            </w14:solidFill>
          </w14:textFill>
        </w:rPr>
        <w:t>根据</w:t>
      </w:r>
      <w:r>
        <w:rPr>
          <w:rFonts w:hint="eastAsia" w:ascii="仿宋_GB2312" w:hAnsi="Times New Roman" w:eastAsia="仿宋_GB2312" w:cs="Times New Roman"/>
          <w:color w:val="000000" w:themeColor="text1"/>
          <w:sz w:val="32"/>
          <w:szCs w:val="32"/>
          <w14:textFill>
            <w14:solidFill>
              <w14:schemeClr w14:val="tx1"/>
            </w14:solidFill>
          </w14:textFill>
        </w:rPr>
        <w:t>《中国共产党党员教育管理工作条例》</w:t>
      </w:r>
      <w:r>
        <w:rPr>
          <w:rFonts w:hint="eastAsia" w:ascii="仿宋_GB2312" w:hAnsi="Times New Roman" w:eastAsia="仿宋_GB2312" w:cs="Times New Roman"/>
          <w:color w:val="000000" w:themeColor="text1"/>
          <w:sz w:val="32"/>
          <w:szCs w:val="32"/>
          <w:lang w:eastAsia="zh-CN"/>
          <w14:textFill>
            <w14:solidFill>
              <w14:schemeClr w14:val="tx1"/>
            </w14:solidFill>
          </w14:textFill>
        </w:rPr>
        <w:t>《全国党员教育培训工作规划（2024－2028年）》《全国干部教育培训规划（</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2023-2027</w:t>
      </w:r>
      <w:r>
        <w:rPr>
          <w:rFonts w:hint="eastAsia" w:ascii="仿宋_GB2312" w:hAnsi="Times New Roman" w:eastAsia="仿宋_GB2312" w:cs="Times New Roman"/>
          <w:color w:val="000000" w:themeColor="text1"/>
          <w:sz w:val="32"/>
          <w:szCs w:val="32"/>
          <w:lang w:eastAsia="zh-CN"/>
          <w14:textFill>
            <w14:solidFill>
              <w14:schemeClr w14:val="tx1"/>
            </w14:solidFill>
          </w14:textFill>
        </w:rPr>
        <w:t>）》《海南省干部教育培训规划（</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2024-2028年</w:t>
      </w:r>
      <w:r>
        <w:rPr>
          <w:rFonts w:hint="eastAsia" w:ascii="仿宋_GB2312" w:hAnsi="Times New Roman" w:eastAsia="仿宋_GB2312" w:cs="Times New Roman"/>
          <w:color w:val="000000" w:themeColor="text1"/>
          <w:sz w:val="32"/>
          <w:szCs w:val="32"/>
          <w:lang w:eastAsia="zh-CN"/>
          <w14:textFill>
            <w14:solidFill>
              <w14:schemeClr w14:val="tx1"/>
            </w14:solidFill>
          </w14:textFill>
        </w:rPr>
        <w:t>）》及《中共海南热带海洋学院委员会关于进一步加强党员教育培训的指导意见》（热海大办</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[2019]35号</w:t>
      </w:r>
      <w:r>
        <w:rPr>
          <w:rFonts w:hint="eastAsia" w:ascii="仿宋_GB2312" w:hAnsi="Times New Roman" w:eastAsia="仿宋_GB2312" w:cs="Times New Roman"/>
          <w:color w:val="000000" w:themeColor="text1"/>
          <w:sz w:val="32"/>
          <w:szCs w:val="32"/>
          <w:lang w:eastAsia="zh-CN"/>
          <w14:textFill>
            <w14:solidFill>
              <w14:schemeClr w14:val="tx1"/>
            </w14:solidFill>
          </w14:textFill>
        </w:rPr>
        <w:t>）等文件精神，需要对全校中层干部、女干部及党外干部等进行轮训，达到县处级以上干部5年内参加培训时间累计不少于3个月或550学时，每年每单位人均脱产培训学时数处级不低于110学时、科级不低于90学时；其中各级干部每年每人网络培训不低于50个学时。</w:t>
      </w:r>
    </w:p>
    <w:p w14:paraId="6C05014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Times New Roman" w:eastAsia="仿宋_GB2312" w:cs="Times New Roman"/>
          <w:color w:val="000000" w:themeColor="text1"/>
          <w:sz w:val="32"/>
          <w:szCs w:val="32"/>
          <w:lang w:eastAsia="zh-CN"/>
          <w14:textFill>
            <w14:solidFill>
              <w14:schemeClr w14:val="tx1"/>
            </w14:solidFill>
          </w14:textFill>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年党员教育培训</w:t>
      </w:r>
      <w:r>
        <w:rPr>
          <w:rFonts w:hint="eastAsia" w:ascii="仿宋_GB2312" w:hAnsi="仿宋_GB2312" w:eastAsia="仿宋_GB2312" w:cs="仿宋_GB2312"/>
          <w:sz w:val="32"/>
          <w:szCs w:val="32"/>
          <w:lang w:val="en-US" w:eastAsia="zh-CN"/>
        </w:rPr>
        <w:t>本着“精准、务实、高效”的原则开展培训。</w:t>
      </w:r>
      <w:r>
        <w:rPr>
          <w:rFonts w:hint="eastAsia" w:ascii="仿宋_GB2312" w:hAnsi="仿宋_GB2312" w:eastAsia="仿宋_GB2312" w:cs="仿宋_GB2312"/>
          <w:sz w:val="32"/>
          <w:szCs w:val="32"/>
          <w:lang w:eastAsia="zh-CN"/>
        </w:rPr>
        <w:t>组织部分干部、党务工作者等到省</w:t>
      </w:r>
      <w:r>
        <w:rPr>
          <w:rFonts w:hint="eastAsia" w:ascii="仿宋_GB2312" w:hAnsi="仿宋_GB2312" w:eastAsia="仿宋_GB2312" w:cs="仿宋_GB2312"/>
          <w:sz w:val="32"/>
          <w:szCs w:val="32"/>
          <w:lang w:val="en-US" w:eastAsia="zh-CN"/>
        </w:rPr>
        <w:t>内</w:t>
      </w:r>
      <w:r>
        <w:rPr>
          <w:rFonts w:hint="eastAsia" w:ascii="仿宋_GB2312" w:hAnsi="仿宋_GB2312" w:eastAsia="仿宋_GB2312" w:cs="仿宋_GB2312"/>
          <w:sz w:val="32"/>
          <w:szCs w:val="32"/>
          <w:lang w:eastAsia="zh-CN"/>
        </w:rPr>
        <w:t>培训基地、</w:t>
      </w:r>
      <w:r>
        <w:rPr>
          <w:rFonts w:hint="eastAsia" w:ascii="仿宋_GB2312" w:hAnsi="仿宋_GB2312" w:eastAsia="仿宋_GB2312" w:cs="仿宋_GB2312"/>
          <w:sz w:val="32"/>
          <w:szCs w:val="32"/>
          <w:lang w:val="en-US" w:eastAsia="zh-CN"/>
        </w:rPr>
        <w:t>校内</w:t>
      </w:r>
      <w:r>
        <w:rPr>
          <w:rFonts w:hint="eastAsia" w:ascii="仿宋_GB2312" w:hAnsi="仿宋_GB2312" w:eastAsia="仿宋_GB2312" w:cs="仿宋_GB2312"/>
          <w:sz w:val="32"/>
          <w:szCs w:val="32"/>
          <w:lang w:eastAsia="zh-CN"/>
        </w:rPr>
        <w:t>等地</w:t>
      </w:r>
      <w:r>
        <w:rPr>
          <w:rFonts w:hint="eastAsia" w:ascii="仿宋_GB2312" w:hAnsi="仿宋_GB2312" w:eastAsia="仿宋_GB2312" w:cs="仿宋_GB2312"/>
          <w:sz w:val="32"/>
          <w:szCs w:val="32"/>
          <w:lang w:val="en-US" w:eastAsia="zh-CN"/>
        </w:rPr>
        <w:t>开展培训</w:t>
      </w:r>
      <w:r>
        <w:rPr>
          <w:rFonts w:hint="eastAsia" w:ascii="仿宋_GB2312" w:hAnsi="仿宋_GB2312" w:eastAsia="仿宋_GB2312" w:cs="仿宋_GB2312"/>
          <w:sz w:val="32"/>
          <w:szCs w:val="32"/>
          <w:lang w:eastAsia="zh-CN"/>
        </w:rPr>
        <w:t>学习、</w:t>
      </w:r>
      <w:r>
        <w:rPr>
          <w:rFonts w:hint="eastAsia" w:ascii="仿宋_GB2312" w:hAnsi="仿宋_GB2312" w:eastAsia="仿宋_GB2312" w:cs="仿宋_GB2312"/>
          <w:sz w:val="32"/>
          <w:szCs w:val="32"/>
          <w:lang w:val="en-US" w:eastAsia="zh-CN"/>
        </w:rPr>
        <w:t>专题讲座等，</w:t>
      </w:r>
      <w:r>
        <w:rPr>
          <w:rFonts w:hint="eastAsia" w:ascii="仿宋_GB2312" w:hAnsi="仿宋_GB2312" w:eastAsia="仿宋_GB2312" w:cs="仿宋_GB2312"/>
          <w:kern w:val="2"/>
          <w:sz w:val="32"/>
          <w:szCs w:val="32"/>
          <w:lang w:val="en-US" w:eastAsia="zh-CN" w:bidi="ar-SA"/>
        </w:rPr>
        <w:t>运用视频集中培训等方式，让优质课件直达一线、覆盖基层。</w:t>
      </w:r>
      <w:r>
        <w:rPr>
          <w:rFonts w:hint="eastAsia" w:ascii="仿宋_GB2312" w:hAnsi="仿宋_GB2312" w:eastAsia="仿宋_GB2312" w:cs="仿宋_GB2312"/>
          <w:sz w:val="32"/>
          <w:szCs w:val="32"/>
          <w:lang w:val="en-US" w:eastAsia="zh-CN"/>
        </w:rPr>
        <w:t>考虑不同干部的经历特点、能力短板等，突出实践能力和创新思维的培养，增加高等教育管理、教育教学改革、科研管理、学生管理、教育人才科研一体化等方面的培训内容，切实提升干部培训成效。</w:t>
      </w:r>
      <w:r>
        <w:rPr>
          <w:rFonts w:hint="eastAsia" w:ascii="仿宋_GB2312" w:hAnsi="仿宋" w:eastAsia="仿宋_GB2312"/>
          <w:sz w:val="32"/>
          <w:szCs w:val="32"/>
          <w:highlight w:val="none"/>
          <w:lang w:eastAsia="zh-CN"/>
        </w:rPr>
        <w:t>开展个报填报线上专项培训，参与省委组织部和省委党校组织的中青班调训；参加教育部中南教育管理干部培训、</w:t>
      </w:r>
      <w:r>
        <w:rPr>
          <w:rFonts w:hint="eastAsia" w:ascii="仿宋_GB2312" w:hAnsi="仿宋" w:eastAsia="仿宋_GB2312"/>
          <w:sz w:val="32"/>
          <w:szCs w:val="32"/>
          <w:highlight w:val="none"/>
          <w:lang w:val="en-US" w:eastAsia="zh-CN"/>
        </w:rPr>
        <w:t>海南省处级干部学习贯彻习近平新时代中国特色社会主义思想理论研修班、</w:t>
      </w:r>
      <w:r>
        <w:rPr>
          <w:rFonts w:hint="eastAsia" w:ascii="仿宋_GB2312" w:hAnsi="仿宋" w:eastAsia="仿宋_GB2312"/>
          <w:sz w:val="32"/>
          <w:szCs w:val="32"/>
          <w:highlight w:val="none"/>
          <w:lang w:eastAsia="zh-CN"/>
        </w:rPr>
        <w:t>省委党校及其他上级部门安排的培训。</w:t>
      </w:r>
    </w:p>
    <w:p w14:paraId="33B8F568">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2.</w:t>
      </w:r>
      <w:r>
        <w:rPr>
          <w:rFonts w:hint="eastAsia" w:ascii="仿宋_GB2312" w:hAnsi="Times New Roman" w:eastAsia="仿宋_GB2312" w:cs="Times New Roman"/>
          <w:color w:val="000000" w:themeColor="text1"/>
          <w:sz w:val="32"/>
          <w:szCs w:val="32"/>
          <w14:textFill>
            <w14:solidFill>
              <w14:schemeClr w14:val="tx1"/>
            </w14:solidFill>
          </w14:textFill>
        </w:rPr>
        <w:t>人才招聘项目</w:t>
      </w:r>
      <w:r>
        <w:rPr>
          <w:rFonts w:hint="eastAsia" w:ascii="仿宋_GB2312" w:hAnsi="Times New Roman" w:eastAsia="仿宋_GB2312" w:cs="Times New Roman"/>
          <w:color w:val="000000" w:themeColor="text1"/>
          <w:sz w:val="32"/>
          <w:szCs w:val="32"/>
          <w:lang w:eastAsia="zh-CN"/>
          <w14:textFill>
            <w14:solidFill>
              <w14:schemeClr w14:val="tx1"/>
            </w14:solidFill>
          </w14:textFill>
        </w:rPr>
        <w:t>。</w:t>
      </w:r>
      <w:r>
        <w:rPr>
          <w:rFonts w:hint="eastAsia" w:ascii="仿宋_GB2312" w:hAnsi="Times New Roman" w:eastAsia="仿宋_GB2312" w:cs="Times New Roman"/>
          <w:color w:val="000000" w:themeColor="text1"/>
          <w:sz w:val="32"/>
          <w:szCs w:val="32"/>
          <w14:textFill>
            <w14:solidFill>
              <w14:schemeClr w14:val="tx1"/>
            </w14:solidFill>
          </w14:textFill>
        </w:rPr>
        <w:t>依据《海南自由贸易港建设总体方案》《海南自由贸易港人才荟萃之岛建设方案》精神，根据《海南热带海洋学院“十四五”事业发展规划（2021-2025）》和《海南热带海洋学院师资队伍规划》，紧扣学校“更大申博”战略方向，大力实施人才强校战略，主要采取外引与内培相结合的方式大力引进和培养人才。通过不断完善引才机制，不断优化提升人才服务水平，努力为学校转型发展提供有力的人才支撑和服务保障。人才引进项目，主要用于引进人才，办理人才手续，政审考察工作、专家评审费、招聘服务费等</w:t>
      </w:r>
      <w:r>
        <w:rPr>
          <w:rFonts w:hint="eastAsia" w:ascii="仿宋_GB2312" w:hAnsi="Times New Roman" w:eastAsia="仿宋_GB2312" w:cs="Times New Roman"/>
          <w:color w:val="000000" w:themeColor="text1"/>
          <w:sz w:val="32"/>
          <w:szCs w:val="32"/>
          <w:lang w:eastAsia="zh-CN"/>
          <w14:textFill>
            <w14:solidFill>
              <w14:schemeClr w14:val="tx1"/>
            </w14:solidFill>
          </w14:textFill>
        </w:rPr>
        <w:t>。</w:t>
      </w:r>
      <w:r>
        <w:rPr>
          <w:rFonts w:hint="eastAsia" w:ascii="仿宋_GB2312" w:hAnsi="Times New Roman" w:eastAsia="仿宋_GB2312" w:cs="Times New Roman"/>
          <w:color w:val="000000" w:themeColor="text1"/>
          <w:sz w:val="32"/>
          <w:szCs w:val="32"/>
          <w14:textFill>
            <w14:solidFill>
              <w14:schemeClr w14:val="tx1"/>
            </w14:solidFill>
          </w14:textFill>
        </w:rPr>
        <w:t>根据学校发展和学科建设需要，提升人才质量，完善人才师资队伍框架，畅通人才引进渠道，加大海内外高层次人才的引进力度。每年制定人才引进计划，每年引进高层次人才不少于</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40</w:t>
      </w:r>
      <w:r>
        <w:rPr>
          <w:rFonts w:hint="eastAsia" w:ascii="仿宋_GB2312" w:hAnsi="Times New Roman" w:eastAsia="仿宋_GB2312" w:cs="Times New Roman"/>
          <w:color w:val="000000" w:themeColor="text1"/>
          <w:sz w:val="32"/>
          <w:szCs w:val="32"/>
          <w14:textFill>
            <w14:solidFill>
              <w14:schemeClr w14:val="tx1"/>
            </w14:solidFill>
          </w14:textFill>
        </w:rPr>
        <w:t>人。</w:t>
      </w:r>
    </w:p>
    <w:p w14:paraId="28BE93F1">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Times New Roman" w:eastAsia="仿宋_GB2312" w:cs="Times New Roman"/>
          <w:color w:val="000000" w:themeColor="text1"/>
          <w:sz w:val="32"/>
          <w:szCs w:val="32"/>
          <w:lang w:eastAsia="zh-CN"/>
          <w14:textFill>
            <w14:solidFill>
              <w14:schemeClr w14:val="tx1"/>
            </w14:solidFill>
          </w14:textFill>
        </w:rPr>
      </w:pP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根据《海南热带海洋学院高层次人才引进与管理办法》（热海大办〔2021〕96号）、《海南热带海洋学院柔性引进人才办法》（热海大办〔2021〕98号）和《海南热带海洋学院人才引进与管理办法（试行）》（热海大办〔2025〕26号），此项目主要围绕人才引进等开展，人才引进项目用于人才的各项服务，优化师资队伍，该项目资金为专款专用。</w:t>
      </w:r>
      <w:r>
        <w:rPr>
          <w:rFonts w:hint="eastAsia" w:ascii="仿宋_GB2312" w:hAnsi="Times New Roman" w:eastAsia="仿宋_GB2312" w:cs="Times New Roman"/>
          <w:color w:val="000000" w:themeColor="text1"/>
          <w:sz w:val="32"/>
          <w:szCs w:val="32"/>
          <w14:textFill>
            <w14:solidFill>
              <w14:schemeClr w14:val="tx1"/>
            </w14:solidFill>
          </w14:textFill>
        </w:rPr>
        <w:t>202</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5</w:t>
      </w:r>
      <w:r>
        <w:rPr>
          <w:rFonts w:hint="eastAsia" w:ascii="仿宋_GB2312" w:hAnsi="Times New Roman" w:eastAsia="仿宋_GB2312" w:cs="Times New Roman"/>
          <w:color w:val="000000" w:themeColor="text1"/>
          <w:sz w:val="32"/>
          <w:szCs w:val="32"/>
          <w14:textFill>
            <w14:solidFill>
              <w14:schemeClr w14:val="tx1"/>
            </w14:solidFill>
          </w14:textFill>
        </w:rPr>
        <w:t>年考核招聘人才面向社会发布招聘岗位</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113</w:t>
      </w:r>
      <w:r>
        <w:rPr>
          <w:rFonts w:hint="eastAsia" w:ascii="仿宋_GB2312" w:hAnsi="Times New Roman" w:eastAsia="仿宋_GB2312" w:cs="Times New Roman"/>
          <w:color w:val="000000" w:themeColor="text1"/>
          <w:sz w:val="32"/>
          <w:szCs w:val="32"/>
          <w14:textFill>
            <w14:solidFill>
              <w14:schemeClr w14:val="tx1"/>
            </w14:solidFill>
          </w14:textFill>
        </w:rPr>
        <w:t>人，现已引进人才</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66</w:t>
      </w:r>
      <w:r>
        <w:rPr>
          <w:rFonts w:hint="eastAsia" w:ascii="仿宋_GB2312" w:hAnsi="Times New Roman" w:eastAsia="仿宋_GB2312" w:cs="Times New Roman"/>
          <w:color w:val="000000" w:themeColor="text1"/>
          <w:sz w:val="32"/>
          <w:szCs w:val="32"/>
          <w14:textFill>
            <w14:solidFill>
              <w14:schemeClr w14:val="tx1"/>
            </w14:solidFill>
          </w14:textFill>
        </w:rPr>
        <w:t>人，其中具有博士学位</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65</w:t>
      </w:r>
      <w:r>
        <w:rPr>
          <w:rFonts w:hint="eastAsia" w:ascii="仿宋_GB2312" w:hAnsi="Times New Roman" w:eastAsia="仿宋_GB2312" w:cs="Times New Roman"/>
          <w:color w:val="000000" w:themeColor="text1"/>
          <w:sz w:val="32"/>
          <w:szCs w:val="32"/>
          <w14:textFill>
            <w14:solidFill>
              <w14:schemeClr w14:val="tx1"/>
            </w14:solidFill>
          </w14:textFill>
        </w:rPr>
        <w:t>人，具有副教授及以上职称</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15</w:t>
      </w:r>
      <w:r>
        <w:rPr>
          <w:rFonts w:hint="eastAsia" w:ascii="仿宋_GB2312" w:hAnsi="Times New Roman" w:eastAsia="仿宋_GB2312" w:cs="Times New Roman"/>
          <w:color w:val="000000" w:themeColor="text1"/>
          <w:sz w:val="32"/>
          <w:szCs w:val="32"/>
          <w14:textFill>
            <w14:solidFill>
              <w14:schemeClr w14:val="tx1"/>
            </w14:solidFill>
          </w14:textFill>
        </w:rPr>
        <w:t>人。202</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5</w:t>
      </w:r>
      <w:r>
        <w:rPr>
          <w:rFonts w:hint="eastAsia" w:ascii="仿宋_GB2312" w:hAnsi="Times New Roman" w:eastAsia="仿宋_GB2312" w:cs="Times New Roman"/>
          <w:color w:val="000000" w:themeColor="text1"/>
          <w:sz w:val="32"/>
          <w:szCs w:val="32"/>
          <w14:textFill>
            <w14:solidFill>
              <w14:schemeClr w14:val="tx1"/>
            </w14:solidFill>
          </w14:textFill>
        </w:rPr>
        <w:t>年公开招聘员额制工作人员面向社会公开招聘</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60</w:t>
      </w:r>
      <w:r>
        <w:rPr>
          <w:rFonts w:hint="eastAsia" w:ascii="仿宋_GB2312" w:hAnsi="Times New Roman" w:eastAsia="仿宋_GB2312" w:cs="Times New Roman"/>
          <w:color w:val="000000" w:themeColor="text1"/>
          <w:sz w:val="32"/>
          <w:szCs w:val="32"/>
          <w14:textFill>
            <w14:solidFill>
              <w14:schemeClr w14:val="tx1"/>
            </w14:solidFill>
          </w14:textFill>
        </w:rPr>
        <w:t>人，现已入职</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45</w:t>
      </w:r>
      <w:r>
        <w:rPr>
          <w:rFonts w:hint="eastAsia" w:ascii="仿宋_GB2312" w:hAnsi="Times New Roman" w:eastAsia="仿宋_GB2312" w:cs="Times New Roman"/>
          <w:color w:val="000000" w:themeColor="text1"/>
          <w:sz w:val="32"/>
          <w:szCs w:val="32"/>
          <w14:textFill>
            <w14:solidFill>
              <w14:schemeClr w14:val="tx1"/>
            </w14:solidFill>
          </w14:textFill>
        </w:rPr>
        <w:t>人。</w:t>
      </w:r>
      <w:r>
        <w:rPr>
          <w:rFonts w:hint="default" w:ascii="Times New Roman" w:hAnsi="Times New Roman" w:eastAsia="仿宋_GB2312" w:cs="Times New Roman"/>
          <w:color w:val="auto"/>
          <w:sz w:val="32"/>
          <w:szCs w:val="32"/>
        </w:rPr>
        <w:t>多渠道</w:t>
      </w:r>
      <w:r>
        <w:rPr>
          <w:rFonts w:ascii="Times New Roman" w:hAnsi="Times New Roman" w:eastAsia="仿宋_GB2312" w:cs="Times New Roman"/>
          <w:color w:val="auto"/>
          <w:sz w:val="32"/>
          <w:szCs w:val="32"/>
        </w:rPr>
        <w:t>引进人才</w:t>
      </w:r>
      <w:r>
        <w:rPr>
          <w:rFonts w:hint="eastAsia" w:ascii="Times New Roman" w:hAnsi="Times New Roman" w:eastAsia="仿宋_GB2312" w:cs="Times New Roman"/>
          <w:color w:val="auto"/>
          <w:sz w:val="32"/>
          <w:szCs w:val="32"/>
          <w:lang w:val="en-US" w:eastAsia="zh-CN"/>
        </w:rPr>
        <w:t>123人</w:t>
      </w:r>
      <w:r>
        <w:rPr>
          <w:rFonts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rPr>
        <w:t>生师比和专任教师博士占比基本达到</w:t>
      </w:r>
      <w:r>
        <w:rPr>
          <w:rFonts w:ascii="Times New Roman" w:hAnsi="Times New Roman" w:eastAsia="仿宋_GB2312" w:cs="Times New Roman"/>
          <w:color w:val="auto"/>
          <w:sz w:val="32"/>
          <w:szCs w:val="32"/>
        </w:rPr>
        <w:t>“更大申博”</w:t>
      </w:r>
      <w:r>
        <w:rPr>
          <w:rFonts w:hint="default" w:ascii="Times New Roman" w:hAnsi="Times New Roman" w:eastAsia="仿宋_GB2312" w:cs="Times New Roman"/>
          <w:color w:val="auto"/>
          <w:sz w:val="32"/>
          <w:szCs w:val="32"/>
        </w:rPr>
        <w:t>指标要求</w:t>
      </w:r>
      <w:r>
        <w:rPr>
          <w:rFonts w:hint="eastAsia" w:ascii="Times New Roman" w:hAnsi="Times New Roman" w:eastAsia="仿宋_GB2312" w:cs="Times New Roman"/>
          <w:color w:val="auto"/>
          <w:sz w:val="32"/>
          <w:szCs w:val="32"/>
          <w:lang w:eastAsia="zh-CN"/>
        </w:rPr>
        <w:t>。</w:t>
      </w:r>
    </w:p>
    <w:p w14:paraId="6429C740">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Times New Roman" w:hAnsi="Times New Roman" w:eastAsia="仿宋_GB2312"/>
          <w:sz w:val="32"/>
          <w:szCs w:val="32"/>
          <w:lang w:eastAsia="zh-CN"/>
        </w:rPr>
      </w:pP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我校的人才引进，在推动学校“更大申博”的同时，在海南在“向海图强”方面发展新质生产力，为海南省在海洋强国的建设战略中提供</w:t>
      </w:r>
      <w:r>
        <w:rPr>
          <w:rFonts w:hint="eastAsia" w:ascii="仿宋_GB2312" w:hAnsi="Times New Roman" w:eastAsia="仿宋_GB2312" w:cs="Times New Roman"/>
          <w:color w:val="000000" w:themeColor="text1"/>
          <w:sz w:val="32"/>
          <w:szCs w:val="32"/>
          <w14:textFill>
            <w14:solidFill>
              <w14:schemeClr w14:val="tx1"/>
            </w14:solidFill>
          </w14:textFill>
        </w:rPr>
        <w:t>强劲推动力</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和</w:t>
      </w:r>
      <w:r>
        <w:rPr>
          <w:rFonts w:hint="eastAsia" w:ascii="仿宋_GB2312" w:hAnsi="Times New Roman" w:eastAsia="仿宋_GB2312" w:cs="Times New Roman"/>
          <w:color w:val="000000" w:themeColor="text1"/>
          <w:sz w:val="32"/>
          <w:szCs w:val="32"/>
          <w14:textFill>
            <w14:solidFill>
              <w14:schemeClr w14:val="tx1"/>
            </w14:solidFill>
          </w14:textFill>
        </w:rPr>
        <w:t>支撑力</w:t>
      </w:r>
      <w:r>
        <w:rPr>
          <w:rFonts w:hint="eastAsia" w:ascii="仿宋_GB2312" w:hAnsi="Times New Roman" w:eastAsia="仿宋_GB2312" w:cs="Times New Roman"/>
          <w:color w:val="000000" w:themeColor="text1"/>
          <w:sz w:val="32"/>
          <w:szCs w:val="32"/>
          <w:lang w:eastAsia="zh-CN"/>
          <w14:textFill>
            <w14:solidFill>
              <w14:schemeClr w14:val="tx1"/>
            </w14:solidFill>
          </w14:textFill>
        </w:rPr>
        <w:t>；</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在智力、信息技术方面，将有助于推进海南自贸港的跨越式发展。充分利用政策优势，引进一批基础理论扎实、教学实践能力突出的学科带头人和教学骨干；不仅促进学校整体办学实力和办学水平的提高，也能更好的为自贸港经济建设发展提供理论、人才、信息、技术的支撑。</w:t>
      </w:r>
    </w:p>
    <w:p w14:paraId="119992E2">
      <w:pPr>
        <w:keepNext w:val="0"/>
        <w:keepLines w:val="0"/>
        <w:pageBreakBefore w:val="0"/>
        <w:kinsoku/>
        <w:wordWrap/>
        <w:overflowPunct/>
        <w:topLinePunct w:val="0"/>
        <w:autoSpaceDE/>
        <w:autoSpaceDN/>
        <w:bidi w:val="0"/>
        <w:adjustRightInd/>
        <w:snapToGrid/>
        <w:spacing w:beforeAutospacing="0" w:afterAutospacing="0" w:line="560" w:lineRule="exact"/>
        <w:ind w:firstLine="643" w:firstLineChars="200"/>
        <w:textAlignment w:val="auto"/>
        <w:rPr>
          <w:rFonts w:ascii="仿宋_GB2312" w:hAnsi="Times New Roman" w:eastAsia="仿宋_GB2312" w:cs="Times New Roman"/>
          <w:color w:val="000000" w:themeColor="text1"/>
          <w:sz w:val="32"/>
          <w:szCs w:val="32"/>
          <w14:textFill>
            <w14:solidFill>
              <w14:schemeClr w14:val="tx1"/>
            </w14:solidFill>
          </w14:textFill>
        </w:rPr>
      </w:pPr>
      <w:r>
        <w:rPr>
          <w:rFonts w:hint="eastAsia" w:ascii="楷体_GB2312" w:hAnsi="Times New Roman" w:eastAsia="楷体_GB2312" w:cs="Times New Roman"/>
          <w:b/>
          <w:bCs/>
          <w:color w:val="000000" w:themeColor="text1"/>
          <w:sz w:val="32"/>
          <w:szCs w:val="32"/>
          <w14:textFill>
            <w14:solidFill>
              <w14:schemeClr w14:val="tx1"/>
            </w14:solidFill>
          </w14:textFill>
        </w:rPr>
        <w:t>（三）公共服务体系建设项目。</w:t>
      </w:r>
      <w:r>
        <w:rPr>
          <w:rFonts w:hint="eastAsia" w:ascii="仿宋_GB2312" w:hAnsi="Times New Roman" w:eastAsia="仿宋_GB2312" w:cs="Times New Roman"/>
          <w:color w:val="000000" w:themeColor="text1"/>
          <w:sz w:val="32"/>
          <w:szCs w:val="32"/>
          <w14:textFill>
            <w14:solidFill>
              <w14:schemeClr w14:val="tx1"/>
            </w14:solidFill>
          </w14:textFill>
        </w:rPr>
        <w:t>该项目主要用于后勤校园服务保障维修管理、信息化运维、实验室安全运行维护、办公设备和家具</w:t>
      </w:r>
      <w:r>
        <w:rPr>
          <w:rFonts w:hint="eastAsia" w:ascii="仿宋_GB2312" w:hAnsi="Times New Roman" w:eastAsia="仿宋_GB2312" w:cs="Times New Roman"/>
          <w:color w:val="000000" w:themeColor="text1"/>
          <w:sz w:val="32"/>
          <w:szCs w:val="32"/>
          <w:lang w:eastAsia="zh-CN"/>
          <w14:textFill>
            <w14:solidFill>
              <w14:schemeClr w14:val="tx1"/>
            </w14:solidFill>
          </w14:textFill>
        </w:rPr>
        <w:t>购置</w:t>
      </w:r>
      <w:r>
        <w:rPr>
          <w:rFonts w:hint="eastAsia" w:ascii="仿宋_GB2312" w:hAnsi="Times New Roman" w:eastAsia="仿宋_GB2312" w:cs="Times New Roman"/>
          <w:color w:val="000000" w:themeColor="text1"/>
          <w:sz w:val="32"/>
          <w:szCs w:val="32"/>
          <w14:textFill>
            <w14:solidFill>
              <w14:schemeClr w14:val="tx1"/>
            </w14:solidFill>
          </w14:textFill>
        </w:rPr>
        <w:t>等。</w:t>
      </w:r>
    </w:p>
    <w:p w14:paraId="27670402">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Times New Roman" w:eastAsia="仿宋_GB2312" w:cs="Times New Roman"/>
          <w:color w:val="000000" w:themeColor="text1"/>
          <w:sz w:val="32"/>
          <w:szCs w:val="32"/>
          <w:lang w:val="en-US" w:eastAsia="zh-CN"/>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后勤校园服务保障维修管理方面，</w:t>
      </w:r>
      <w:r>
        <w:rPr>
          <w:rFonts w:hint="eastAsia" w:ascii="Times New Roman" w:hAnsi="Times New Roman" w:eastAsia="仿宋_GB2312" w:cs="Times New Roman"/>
          <w:color w:val="auto"/>
          <w:sz w:val="32"/>
          <w:szCs w:val="32"/>
          <w:lang w:val="en-US" w:eastAsia="zh-CN"/>
        </w:rPr>
        <w:t>通过</w:t>
      </w:r>
      <w:r>
        <w:rPr>
          <w:rFonts w:hint="default" w:ascii="Times New Roman" w:hAnsi="Times New Roman" w:eastAsia="仿宋_GB2312" w:cs="Times New Roman"/>
          <w:color w:val="auto"/>
          <w:sz w:val="32"/>
          <w:szCs w:val="32"/>
        </w:rPr>
        <w:t>开展校园环境整治与基础设施维修</w:t>
      </w:r>
      <w:r>
        <w:rPr>
          <w:rFonts w:hint="default" w:ascii="Times New Roman" w:hAnsi="Times New Roman" w:eastAsia="仿宋_GB2312" w:cs="Times New Roman"/>
          <w:color w:val="auto"/>
          <w:sz w:val="32"/>
          <w:szCs w:val="32"/>
          <w:lang w:val="en-US" w:eastAsia="zh-CN"/>
        </w:rPr>
        <w:t>工程</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推动水电</w:t>
      </w:r>
      <w:r>
        <w:rPr>
          <w:rFonts w:hint="default" w:ascii="Times New Roman" w:hAnsi="Times New Roman" w:eastAsia="仿宋_GB2312" w:cs="Times New Roman"/>
          <w:color w:val="auto"/>
          <w:sz w:val="32"/>
          <w:szCs w:val="32"/>
        </w:rPr>
        <w:t>费用托管</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引进优质物业公司，</w:t>
      </w:r>
      <w:r>
        <w:rPr>
          <w:rFonts w:hint="eastAsia" w:ascii="Times New Roman" w:hAnsi="Times New Roman" w:eastAsia="仿宋_GB2312" w:cs="Times New Roman"/>
          <w:color w:val="auto"/>
          <w:sz w:val="32"/>
          <w:szCs w:val="32"/>
          <w:lang w:val="en-US" w:eastAsia="zh-CN"/>
        </w:rPr>
        <w:t>推动</w:t>
      </w:r>
      <w:r>
        <w:rPr>
          <w:rFonts w:hint="default" w:ascii="Times New Roman" w:hAnsi="Times New Roman" w:eastAsia="仿宋_GB2312" w:cs="Times New Roman"/>
          <w:color w:val="auto"/>
          <w:sz w:val="32"/>
          <w:szCs w:val="32"/>
          <w:lang w:val="en-US" w:eastAsia="zh-CN"/>
        </w:rPr>
        <w:t>高速噪音问题纳入交通厅整改计划</w:t>
      </w:r>
      <w:r>
        <w:rPr>
          <w:rFonts w:hint="default" w:ascii="Times New Roman" w:hAnsi="Times New Roman" w:eastAsia="仿宋_GB2312" w:cs="Times New Roman"/>
          <w:color w:val="auto"/>
          <w:sz w:val="32"/>
          <w:szCs w:val="32"/>
        </w:rPr>
        <w:t>，师生满意度大幅提升。</w:t>
      </w:r>
      <w:r>
        <w:rPr>
          <w:rFonts w:hint="eastAsia" w:ascii="Times New Roman" w:hAnsi="Times New Roman" w:eastAsia="仿宋_GB2312" w:cs="Times New Roman"/>
          <w:color w:val="auto"/>
          <w:sz w:val="32"/>
          <w:szCs w:val="32"/>
          <w:lang w:val="en-US" w:eastAsia="zh-CN"/>
        </w:rPr>
        <w:t>物业</w:t>
      </w:r>
      <w:r>
        <w:rPr>
          <w:rFonts w:hint="eastAsia" w:ascii="仿宋_GB2312" w:hAnsi="Times New Roman" w:eastAsia="仿宋_GB2312" w:cs="Times New Roman"/>
          <w:color w:val="000000" w:themeColor="text1"/>
          <w:sz w:val="32"/>
          <w:szCs w:val="32"/>
          <w:lang w:eastAsia="zh-CN"/>
          <w14:textFill>
            <w14:solidFill>
              <w14:schemeClr w14:val="tx1"/>
            </w14:solidFill>
          </w14:textFill>
        </w:rPr>
        <w:t>公司提供包括卫生保洁、水电管理、电梯维护以及病媒防制等一系列专业的物业服务内容，以确保学校能够实现水电的安全稳定供应，并营造一个干净整洁、舒适宜人的校园环境。同时，在全校范围内（涵盖五指山校区和三亚校区），常态化开展环境消杀作业，严格控制病媒生物密度</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使其符合国家相关标准，为师生提供健康安全的学习与生活环境。此外，还将重点完成三亚校区除教师村以外区域的绿化养护任务，进一步美化校园景观，提升整体环境品质。在公共卫生方面，将对三亚校区内的行政楼、教学楼、图书馆等重要区域进行全面的清洁和防疫消毒工作，确保这些场所始终保持干净卫生的状态，满足疫情防控需求，为师生创造良好的学习和工作条件。零星维修用于支持</w:t>
      </w:r>
      <w:r>
        <w:rPr>
          <w:rFonts w:hint="eastAsia" w:ascii="仿宋_GB2312" w:hAnsi="仿宋" w:eastAsia="仿宋_GB2312"/>
          <w:sz w:val="32"/>
          <w:szCs w:val="32"/>
          <w:lang w:val="en-US" w:eastAsia="zh-CN"/>
        </w:rPr>
        <w:t>三亚校区及五指山校区</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的基础设施维修工作。这部分主要覆盖学生宿舍、教室、实验室、办公室以及其他户外公共设施（如道路、围网等）的修缮与维护，旨在解决日常使用过程中出现的各种小问题，延长设施使用寿命，优化校园硬件条件。通过上述措施，不仅能够显著改善学校的教学条件和学生住宿条件，还能够有效保障学校正常的教学、科研和生活秩序，为学校的快速发展奠定坚实基础。</w:t>
      </w:r>
    </w:p>
    <w:p w14:paraId="41585E47">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信息化运行保障</w:t>
      </w:r>
      <w:r>
        <w:rPr>
          <w:rFonts w:hint="eastAsia" w:ascii="仿宋_GB2312" w:hAnsi="仿宋" w:eastAsia="仿宋_GB2312"/>
          <w:sz w:val="32"/>
          <w:szCs w:val="32"/>
        </w:rPr>
        <w:t>校园信息化基本运行、教学活动顺利开展，以及五指山校区网络线路等。校园信息化运行保障属于常规业务工作，学校校园网信息点维护量2.2万个，业务支撑系统52个，就费用支出主要用于信息安全等保测评、各业务系统硬件维护费、网络设备购置、线路租赁费等，基本确保校园信息化的正常运转；保障五指山校区办公、教学用网需求。五指山校区图书馆网络线路维护，为学生在图书馆区域学习提供高质量及无线上网服务</w:t>
      </w:r>
      <w:r>
        <w:rPr>
          <w:rFonts w:hint="eastAsia" w:ascii="仿宋_GB2312" w:hAnsi="仿宋" w:eastAsia="仿宋_GB2312"/>
          <w:sz w:val="32"/>
          <w:szCs w:val="32"/>
          <w:lang w:eastAsia="zh-CN"/>
        </w:rPr>
        <w:t>；</w:t>
      </w:r>
      <w:r>
        <w:rPr>
          <w:rFonts w:hint="eastAsia" w:ascii="仿宋_GB2312" w:hAnsi="仿宋" w:eastAsia="仿宋_GB2312"/>
          <w:sz w:val="32"/>
          <w:szCs w:val="32"/>
        </w:rPr>
        <w:t>北苑图书馆五个楼层无线信号全覆盖，南苑校区图书馆两个楼层无线信号全覆盖，西苑校区图书馆一个楼层无线信号覆盖，充分满足了五指山校区近三千学生的在图书馆学习的上网需求；艺术楼、人文社科大楼、留学生公寓楼光缆线路维修维护。学生宿舍楼网络暗线维修工作；三亚校区网络核心机房服务器、核心交换机等设备升级及维护</w:t>
      </w:r>
      <w:r>
        <w:rPr>
          <w:rFonts w:hint="eastAsia" w:ascii="仿宋_GB2312" w:hAnsi="仿宋" w:eastAsia="仿宋_GB2312"/>
          <w:sz w:val="32"/>
          <w:szCs w:val="32"/>
          <w:lang w:eastAsia="zh-CN"/>
        </w:rPr>
        <w:t>；</w:t>
      </w:r>
      <w:r>
        <w:rPr>
          <w:rFonts w:hint="eastAsia" w:ascii="仿宋_GB2312" w:hAnsi="仿宋" w:eastAsia="仿宋_GB2312"/>
          <w:sz w:val="32"/>
          <w:szCs w:val="32"/>
        </w:rPr>
        <w:t>人事处人力资源管理系、校办自动化办公泛微系统、学工处宿舍区人脸识别系统的维护工作。校园网运维保障交换机维护750多台次；交换机更换、拆除75台；室内面板AP更换78台；室内面板AP维护400多台次;宿舍区故障处理560多次；办公区故障处理 95多次；教学区故障处理90多次；电话服务2100多次；配合后勤故障处理50多次；配合部门网络服务40批次；配合学校活动服务18次；国家考试服务保障24场；配合电信网络运维、施工6次；配合移动网络运维、施工3次；配合公司施工10次，弱电间检查共计3144间次</w:t>
      </w:r>
      <w:r>
        <w:rPr>
          <w:rFonts w:hint="eastAsia" w:ascii="仿宋_GB2312" w:hAnsi="仿宋" w:eastAsia="仿宋_GB2312"/>
          <w:sz w:val="32"/>
          <w:szCs w:val="32"/>
          <w:lang w:eastAsia="zh-CN"/>
        </w:rPr>
        <w:t>；</w:t>
      </w:r>
      <w:r>
        <w:rPr>
          <w:rFonts w:hint="eastAsia" w:ascii="仿宋_GB2312" w:hAnsi="仿宋" w:eastAsia="仿宋_GB2312"/>
          <w:sz w:val="32"/>
          <w:szCs w:val="32"/>
        </w:rPr>
        <w:t>网络志愿者培训72次</w:t>
      </w:r>
      <w:r>
        <w:rPr>
          <w:rFonts w:hint="eastAsia" w:ascii="仿宋_GB2312" w:hAnsi="仿宋" w:eastAsia="仿宋_GB2312"/>
          <w:sz w:val="32"/>
          <w:szCs w:val="32"/>
          <w:lang w:eastAsia="zh-CN"/>
        </w:rPr>
        <w:t>；</w:t>
      </w:r>
      <w:r>
        <w:rPr>
          <w:rFonts w:hint="eastAsia" w:ascii="仿宋_GB2312" w:hAnsi="仿宋" w:eastAsia="仿宋_GB2312"/>
          <w:sz w:val="32"/>
          <w:szCs w:val="32"/>
        </w:rPr>
        <w:t>网络志愿者训练70次。</w:t>
      </w:r>
    </w:p>
    <w:p w14:paraId="485211AD">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通过实验室耗材经费、废弃物处置经费以及设备维护经费</w:t>
      </w:r>
      <w:r>
        <w:rPr>
          <w:rFonts w:hint="eastAsia" w:ascii="仿宋_GB2312" w:hAnsi="仿宋" w:eastAsia="仿宋_GB2312"/>
          <w:sz w:val="32"/>
          <w:szCs w:val="32"/>
          <w:lang w:val="en-US" w:eastAsia="zh-CN"/>
        </w:rPr>
        <w:t>使用</w:t>
      </w:r>
      <w:r>
        <w:rPr>
          <w:rFonts w:hint="eastAsia" w:ascii="仿宋_GB2312" w:hAnsi="仿宋" w:eastAsia="仿宋_GB2312"/>
          <w:sz w:val="32"/>
          <w:szCs w:val="32"/>
        </w:rPr>
        <w:t>，确保全校教学实验课程、毕业论文工作能够有条不紊地开展，维持实验室设备的稳定运行，及时且安全地处理实验室废弃物，营造安全、高效的实验教学与科研环境</w:t>
      </w:r>
      <w:r>
        <w:rPr>
          <w:rFonts w:hint="eastAsia" w:ascii="仿宋_GB2312" w:hAnsi="仿宋" w:eastAsia="仿宋_GB2312"/>
          <w:sz w:val="32"/>
          <w:szCs w:val="32"/>
          <w:lang w:eastAsia="zh-CN"/>
        </w:rPr>
        <w:t>；</w:t>
      </w:r>
      <w:r>
        <w:rPr>
          <w:rFonts w:hint="eastAsia" w:ascii="仿宋_GB2312" w:hAnsi="仿宋" w:eastAsia="仿宋_GB2312"/>
          <w:sz w:val="32"/>
          <w:szCs w:val="32"/>
        </w:rPr>
        <w:t>实验室安全管理费用的合理运用，保障实验室安全设施的更新和建设，消除安全隐患，加强应急处置能力。各二级学院依据教学与科研实际需求提出实验耗材购置申请，实验室管理中心对申请进行初步审核，重点审查耗材种类、数量与预算的合理性以及与教学科研计划的匹配度等方面。审核通过后提交采购与招标中心进行终审，终审通过后反馈相关单位进行确认，随后进入招标程序。招标工作完成后，与中标单位进行合同的签订事宜，实验室管理中心严格按照时间节点对到货情况进行跟踪监控，积极协调验收报账等相关工作，确保耗材能够及时、准确地供应到教学科研一线。</w:t>
      </w:r>
    </w:p>
    <w:p w14:paraId="13ED3917">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实验室废弃物处置转运工作，共计统一转运4次，累计转运量达18吨</w:t>
      </w:r>
      <w:r>
        <w:rPr>
          <w:rFonts w:hint="eastAsia" w:ascii="仿宋_GB2312" w:hAnsi="仿宋" w:eastAsia="仿宋_GB2312"/>
          <w:sz w:val="32"/>
          <w:szCs w:val="32"/>
          <w:lang w:eastAsia="zh-CN"/>
        </w:rPr>
        <w:t>。</w:t>
      </w:r>
      <w:r>
        <w:rPr>
          <w:rFonts w:hint="eastAsia" w:ascii="仿宋_GB2312" w:hAnsi="仿宋" w:eastAsia="仿宋_GB2312"/>
          <w:sz w:val="32"/>
          <w:szCs w:val="32"/>
        </w:rPr>
        <w:t>在废弃物处置过程中，严格执行环保法规与安全操作规程，从废弃物的分类收集、包装运输到最终的无害化处理，均建立了完善的监管机制与记录档案，确保废弃物处置工作安全、高效、环保，有效降低了实验室废弃物对校园环境与人员健康的潜在风险。实验室设备维护在设备维修过程中，建立了规范的报修、审核、维修、验收流程，对维修单位的资质与技术水平进行严格筛选与评估，确保维修工作质量可靠、价格合理。本年度共完成设备维修18次，有效保障了学校教学、科研设备的正常运行，减少了因设备故障导致的教学科研中断与损失</w:t>
      </w:r>
      <w:r>
        <w:rPr>
          <w:rFonts w:hint="eastAsia" w:ascii="仿宋_GB2312" w:hAnsi="仿宋" w:eastAsia="仿宋_GB2312"/>
          <w:sz w:val="32"/>
          <w:szCs w:val="32"/>
          <w:lang w:eastAsia="zh-CN"/>
        </w:rPr>
        <w:t>；</w:t>
      </w:r>
      <w:r>
        <w:rPr>
          <w:rFonts w:hint="eastAsia" w:ascii="仿宋_GB2312" w:hAnsi="仿宋" w:eastAsia="仿宋_GB2312"/>
          <w:sz w:val="32"/>
          <w:szCs w:val="32"/>
        </w:rPr>
        <w:t>实验室安全管理主要用于安全器材能维护实验室安全的设施建设，覆盖6个二级学院的45</w:t>
      </w:r>
      <w:r>
        <w:rPr>
          <w:rFonts w:hint="eastAsia" w:ascii="仿宋_GB2312" w:hAnsi="仿宋" w:eastAsia="仿宋_GB2312"/>
          <w:sz w:val="32"/>
          <w:szCs w:val="32"/>
          <w:lang w:val="en-US" w:eastAsia="zh-CN"/>
        </w:rPr>
        <w:t>间</w:t>
      </w:r>
      <w:r>
        <w:rPr>
          <w:rFonts w:hint="eastAsia" w:ascii="仿宋_GB2312" w:hAnsi="仿宋" w:eastAsia="仿宋_GB2312"/>
          <w:sz w:val="32"/>
          <w:szCs w:val="32"/>
        </w:rPr>
        <w:t>实验室。</w:t>
      </w:r>
    </w:p>
    <w:p w14:paraId="2EA7577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 w:eastAsia="仿宋_GB2312"/>
          <w:sz w:val="32"/>
          <w:szCs w:val="32"/>
        </w:rPr>
      </w:pPr>
      <w:r>
        <w:rPr>
          <w:rFonts w:hint="eastAsia" w:ascii="仿宋_GB2312" w:hAnsi="Times New Roman" w:eastAsia="仿宋_GB2312" w:cs="Times New Roman"/>
          <w:color w:val="000000" w:themeColor="text1"/>
          <w:sz w:val="32"/>
          <w:szCs w:val="32"/>
          <w14:textFill>
            <w14:solidFill>
              <w14:schemeClr w14:val="tx1"/>
            </w14:solidFill>
          </w14:textFill>
        </w:rPr>
        <w:t>办公设备和家具购置</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中</w:t>
      </w:r>
      <w:r>
        <w:rPr>
          <w:rFonts w:hint="eastAsia" w:ascii="仿宋_GB2312" w:hAnsi="仿宋" w:eastAsia="仿宋_GB2312"/>
          <w:sz w:val="32"/>
          <w:szCs w:val="32"/>
        </w:rPr>
        <w:t>除</w:t>
      </w:r>
      <w:r>
        <w:rPr>
          <w:rFonts w:hint="eastAsia" w:ascii="仿宋_GB2312" w:hAnsi="仿宋" w:eastAsia="仿宋_GB2312"/>
          <w:sz w:val="32"/>
          <w:szCs w:val="32"/>
          <w:lang w:val="en-US" w:eastAsia="zh-CN"/>
        </w:rPr>
        <w:t>办公设备维修与耗材</w:t>
      </w:r>
      <w:r>
        <w:rPr>
          <w:rFonts w:hint="eastAsia" w:ascii="仿宋_GB2312" w:hAnsi="仿宋" w:eastAsia="仿宋_GB2312"/>
          <w:sz w:val="32"/>
          <w:szCs w:val="32"/>
        </w:rPr>
        <w:t>外，均以分散（零星）采购方式组织实施，由需求部门提出，填报学校分散采购实施计划书（3-20万元），经需求单位党政联席会（或处务会）确定，报分管业务部门核实后，再由计划财务处提出资金安排意见，最后由国有资产与设备处审核报备后实施。</w:t>
      </w:r>
      <w:r>
        <w:rPr>
          <w:rFonts w:hint="eastAsia" w:ascii="仿宋_GB2312" w:hAnsi="仿宋" w:eastAsia="仿宋_GB2312"/>
          <w:sz w:val="32"/>
          <w:szCs w:val="32"/>
          <w:lang w:val="en-US" w:eastAsia="zh-CN"/>
        </w:rPr>
        <w:t>办公设备维修与耗材</w:t>
      </w:r>
      <w:r>
        <w:rPr>
          <w:rFonts w:hint="eastAsia" w:ascii="仿宋_GB2312" w:hAnsi="仿宋" w:eastAsia="仿宋_GB2312"/>
          <w:sz w:val="32"/>
          <w:szCs w:val="32"/>
        </w:rPr>
        <w:t>项目，由国有资产与设备处根据需求部门报修或报更换事项，据实结算。</w:t>
      </w:r>
      <w:r>
        <w:rPr>
          <w:rFonts w:hint="eastAsia" w:ascii="仿宋_GB2312" w:hAnsi="仿宋" w:eastAsia="仿宋_GB2312"/>
          <w:sz w:val="32"/>
          <w:szCs w:val="32"/>
          <w:lang w:val="en-US" w:eastAsia="zh-CN"/>
        </w:rPr>
        <w:t>项目共完成设备维修与耗材购置244次，有效解决了办公设备故障问题，保障了全校行政办公设备的正常运转，教学科研仪器的稳定运行；完成 11项包括学院搬迁、报废设备搬运、仓库清理、宿舍家具搬运、学生公寓楼道报废资产清理、防疫物资报废的清理等项目，助力校园空间优化、保障教师办公环境及学校资产处置的规范性；共采购466箱</w:t>
      </w:r>
      <w:r>
        <w:rPr>
          <w:rFonts w:hint="eastAsia" w:ascii="仿宋_GB2312" w:hAnsi="仿宋" w:eastAsia="仿宋_GB2312"/>
          <w:sz w:val="32"/>
          <w:szCs w:val="32"/>
        </w:rPr>
        <w:t>复印纸</w:t>
      </w:r>
      <w:r>
        <w:rPr>
          <w:rFonts w:hint="eastAsia" w:ascii="仿宋_GB2312" w:hAnsi="仿宋" w:eastAsia="仿宋_GB2312"/>
          <w:sz w:val="32"/>
          <w:szCs w:val="32"/>
          <w:lang w:val="en-US" w:eastAsia="zh-CN"/>
        </w:rPr>
        <w:t>，</w:t>
      </w:r>
      <w:r>
        <w:rPr>
          <w:rFonts w:hint="eastAsia" w:ascii="仿宋_GB2312" w:hAnsi="仿宋" w:eastAsia="仿宋_GB2312"/>
          <w:sz w:val="32"/>
          <w:szCs w:val="32"/>
        </w:rPr>
        <w:t>满足</w:t>
      </w:r>
      <w:r>
        <w:rPr>
          <w:rFonts w:hint="eastAsia" w:ascii="仿宋_GB2312" w:hAnsi="仿宋" w:eastAsia="仿宋_GB2312"/>
          <w:sz w:val="32"/>
          <w:szCs w:val="32"/>
          <w:lang w:val="en-US" w:eastAsia="zh-CN"/>
        </w:rPr>
        <w:t>了各部门行政办公、教学科研</w:t>
      </w:r>
      <w:r>
        <w:rPr>
          <w:rFonts w:hint="eastAsia" w:ascii="仿宋_GB2312" w:hAnsi="仿宋" w:eastAsia="仿宋_GB2312"/>
          <w:sz w:val="32"/>
          <w:szCs w:val="32"/>
        </w:rPr>
        <w:t>日常打印、复印需求</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为</w:t>
      </w:r>
      <w:r>
        <w:rPr>
          <w:rFonts w:hint="eastAsia" w:ascii="仿宋_GB2312" w:hAnsi="仿宋" w:eastAsia="仿宋_GB2312"/>
          <w:sz w:val="32"/>
          <w:szCs w:val="32"/>
        </w:rPr>
        <w:t>学校</w:t>
      </w:r>
      <w:r>
        <w:rPr>
          <w:rFonts w:hint="eastAsia" w:ascii="仿宋_GB2312" w:hAnsi="仿宋" w:eastAsia="仿宋_GB2312"/>
          <w:sz w:val="32"/>
          <w:szCs w:val="32"/>
          <w:lang w:val="en-US" w:eastAsia="zh-CN"/>
        </w:rPr>
        <w:t>引进人才</w:t>
      </w:r>
      <w:r>
        <w:rPr>
          <w:rFonts w:hint="eastAsia" w:ascii="仿宋_GB2312" w:hAnsi="仿宋" w:eastAsia="仿宋_GB2312"/>
          <w:sz w:val="32"/>
          <w:szCs w:val="32"/>
        </w:rPr>
        <w:t>提供租房补贴支持，通过精准对接人才住房需求，简化申请流程，为引进人才解决了 “安居” 难题，有效降低了人才异地工作的生活成本，增强了人才归属感和幸福感，为学校吸引、留住高层次人才提供了坚实的物质保障，助力了师资队伍建设提质增效。</w:t>
      </w:r>
    </w:p>
    <w:p w14:paraId="689C4A1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仿宋" w:eastAsia="仿宋_GB2312"/>
          <w:sz w:val="32"/>
          <w:szCs w:val="32"/>
          <w:lang w:val="en-US" w:eastAsia="zh-CN"/>
        </w:rPr>
        <w:t>此外三亚校区及五指山校区房产土地测绘费项目的推进将精准厘清两校区房产土地的界址、面积、用途等核心信息，为房产证办理提供关键技术依据，直接支撑学校更名大学过程中 “资产权属清晰” 的硬性考核指标，对学校拓展办学空间、提升办学层次具有重要意义；</w:t>
      </w:r>
      <w:r>
        <w:rPr>
          <w:rFonts w:hint="eastAsia" w:ascii="仿宋_GB2312" w:hAnsi="仿宋" w:eastAsia="仿宋_GB2312"/>
          <w:sz w:val="32"/>
          <w:szCs w:val="32"/>
        </w:rPr>
        <w:t>各部门临时物资</w:t>
      </w:r>
      <w:r>
        <w:rPr>
          <w:rFonts w:hint="eastAsia" w:ascii="仿宋_GB2312" w:hAnsi="仿宋" w:eastAsia="仿宋_GB2312"/>
          <w:sz w:val="32"/>
          <w:szCs w:val="32"/>
          <w:lang w:val="en-US" w:eastAsia="zh-CN"/>
        </w:rPr>
        <w:t>申请项目共完成 10 项，根据各部门实际需求，保障临时性物资供应，确保工作顺利进行。</w:t>
      </w:r>
      <w:r>
        <w:rPr>
          <w:rFonts w:hint="eastAsia" w:ascii="仿宋_GB2312" w:hAnsi="仿宋" w:eastAsia="仿宋_GB2312"/>
          <w:sz w:val="32"/>
          <w:szCs w:val="32"/>
        </w:rPr>
        <w:t>采购文件评审</w:t>
      </w:r>
      <w:r>
        <w:rPr>
          <w:rFonts w:hint="eastAsia" w:ascii="仿宋_GB2312" w:hAnsi="仿宋" w:eastAsia="仿宋_GB2312"/>
          <w:sz w:val="32"/>
          <w:szCs w:val="32"/>
          <w:lang w:val="en-US" w:eastAsia="zh-CN"/>
        </w:rPr>
        <w:t>项目，为强化采购流程监管，全年</w:t>
      </w:r>
      <w:r>
        <w:rPr>
          <w:rFonts w:hint="eastAsia" w:ascii="仿宋_GB2312" w:hAnsi="仿宋" w:eastAsia="仿宋_GB2312"/>
          <w:sz w:val="32"/>
          <w:szCs w:val="32"/>
        </w:rPr>
        <w:t>完成采购文件评审</w:t>
      </w:r>
      <w:r>
        <w:rPr>
          <w:rFonts w:hint="eastAsia" w:ascii="仿宋_GB2312" w:hAnsi="仿宋" w:eastAsia="仿宋_GB2312"/>
          <w:sz w:val="32"/>
          <w:szCs w:val="32"/>
          <w:lang w:val="en-US" w:eastAsia="zh-CN"/>
        </w:rPr>
        <w:t>25</w:t>
      </w:r>
      <w:r>
        <w:rPr>
          <w:rFonts w:hint="eastAsia" w:ascii="仿宋_GB2312" w:hAnsi="仿宋" w:eastAsia="仿宋_GB2312"/>
          <w:sz w:val="32"/>
          <w:szCs w:val="32"/>
        </w:rPr>
        <w:t>项，通过采购文件评审工作，确保文件中设置的资格、技术、商务条件与实际需求相适应，保障各类市场主体平等参与学校采购活动</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资产与房产系统运维及报废资产评估费项目，完成 2项报废资产评估工作，涉及办公设备、教学仪器、家具等各类报废资产2000余台（套），评估金额达 1000余万元，为资产报废处置的合规性审核、残值回收定价的科学性提供了专业第三方依据，有效防范了资产处置风险；聚焦资产与房产系统信息化提质，全年完成资产系统数据及功能模块优化升级，显著提升了国有资产信息化监管的精准度、高效性和便捷性，为学校资产精细化管理提供了有力技术支撑。</w:t>
      </w:r>
    </w:p>
    <w:p w14:paraId="58C98260">
      <w:pPr>
        <w:pStyle w:val="5"/>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firstLine="619" w:firstLineChars="200"/>
        <w:textAlignment w:val="auto"/>
        <w:rPr>
          <w:rFonts w:hint="eastAsia" w:ascii="仿宋_GB2312" w:hAnsi="仿宋" w:eastAsia="仿宋_GB2312" w:cstheme="minorBidi"/>
          <w:spacing w:val="0"/>
          <w:kern w:val="2"/>
          <w:sz w:val="32"/>
          <w:szCs w:val="32"/>
          <w:lang w:val="en-US" w:eastAsia="zh-CN" w:bidi="ar-SA"/>
        </w:rPr>
      </w:pPr>
      <w:r>
        <w:rPr>
          <w:rFonts w:hint="eastAsia" w:ascii="楷体_GB2312" w:hAnsi="Times New Roman" w:eastAsia="楷体_GB2312" w:cs="Times New Roman"/>
          <w:b/>
          <w:bCs/>
          <w:color w:val="000000" w:themeColor="text1"/>
          <w:sz w:val="32"/>
          <w:szCs w:val="32"/>
          <w14:textFill>
            <w14:solidFill>
              <w14:schemeClr w14:val="tx1"/>
            </w14:solidFill>
          </w14:textFill>
        </w:rPr>
        <w:t>（四）学生创新发展专项。</w:t>
      </w:r>
      <w:r>
        <w:rPr>
          <w:rFonts w:hint="eastAsia" w:ascii="仿宋_GB2312" w:hAnsi="仿宋" w:eastAsia="仿宋_GB2312" w:cstheme="minorBidi"/>
          <w:spacing w:val="0"/>
          <w:kern w:val="2"/>
          <w:sz w:val="32"/>
          <w:szCs w:val="32"/>
          <w:lang w:val="en-US" w:eastAsia="zh-CN" w:bidi="ar-SA"/>
        </w:rPr>
        <w:t>2025 年学生创新发展相关工作，聚焦创新创业、校园文化、组织建设、社会实践志愿服务四大核心领域。依据《海南热带海洋学院创新创业助力行动实施方案》《高校学生社团建设管理办法》《海南热带海洋学院 “第二课堂成绩单” 制度实施办法（试行）》等文件精神立项，紧扣地方高校改革发展核心任务，聚焦立德树人根本目标，旨在通过多样化活动载体，提升学生综合素质，助力学校人才培养质量提升。创新创业类为组织各类创新创业竞赛、科技文化节、大学生创新创业计划项目等，激发学生创新精神和创业意识；校园文化类为开展学生社团活动、第二课堂、海洋特色校园文化活动、常态化校园文化活动及大学生艺术团活动等，丰富校园文化生活；社会实践志愿服务类为组织 “三下乡” 社会实践、各类志愿服务活动，打造精品志愿服务项目，提升学生实践能力和社会责任感；组织建设类为推进网上共青团建设、共青团组织建设、阵地建设等，强化团组织凝聚力和战斗力。</w:t>
      </w:r>
    </w:p>
    <w:p w14:paraId="04FF7260">
      <w:pPr>
        <w:pStyle w:val="5"/>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firstLine="616" w:firstLineChars="200"/>
        <w:textAlignment w:val="auto"/>
        <w:rPr>
          <w:rFonts w:ascii="仿宋_GB2312" w:hAnsi="Times New Roman" w:eastAsia="仿宋_GB2312" w:cs="Times New Roman"/>
          <w:color w:val="000000" w:themeColor="text1"/>
          <w:sz w:val="32"/>
          <w:szCs w:val="32"/>
          <w14:textFill>
            <w14:solidFill>
              <w14:schemeClr w14:val="tx1"/>
            </w14:solidFill>
          </w14:textFill>
        </w:rPr>
      </w:pPr>
      <w:r>
        <w:rPr>
          <w:color w:val="000000"/>
        </w:rPr>
        <w:t>各类活动覆盖全校 18 个二级学院，两校区学生全覆盖，学生参与累计达 4.8 万人次，参与率达 78%，接近预期目标</w:t>
      </w:r>
      <w:r>
        <w:rPr>
          <w:rFonts w:hint="eastAsia"/>
          <w:color w:val="000000"/>
          <w:lang w:eastAsia="zh-CN"/>
        </w:rPr>
        <w:t>；</w:t>
      </w:r>
      <w:r>
        <w:rPr>
          <w:color w:val="000000"/>
        </w:rPr>
        <w:t>组织创新创业竞赛 10 余场，培育创新创业团队 45 支，</w:t>
      </w:r>
      <w:r>
        <w:rPr>
          <w:rFonts w:hint="eastAsia"/>
          <w:color w:val="000000"/>
          <w:lang w:eastAsia="zh-CN"/>
        </w:rPr>
        <w:t>“</w:t>
      </w:r>
      <w:r>
        <w:rPr>
          <w:color w:val="000000"/>
        </w:rPr>
        <w:t xml:space="preserve">国创赛” </w:t>
      </w:r>
      <w:r>
        <w:rPr>
          <w:rFonts w:hint="eastAsia"/>
          <w:color w:val="000000"/>
        </w:rPr>
        <w:t>省赛</w:t>
      </w:r>
      <w:r>
        <w:rPr>
          <w:rFonts w:hint="eastAsia"/>
          <w:color w:val="000000"/>
          <w:lang w:val="en-US" w:eastAsia="zh-CN"/>
        </w:rPr>
        <w:t>荣获</w:t>
      </w:r>
      <w:r>
        <w:rPr>
          <w:rFonts w:hint="eastAsia"/>
          <w:color w:val="000000"/>
        </w:rPr>
        <w:t>5金4银8铜，金奖总数位列全省高校第三，学校获评＂优秀组织单位＂，12名教师荣获＂优秀指导教师＂称号，国赛铜奖8项。＂挑战杯＂省赛</w:t>
      </w:r>
      <w:r>
        <w:rPr>
          <w:rFonts w:hint="eastAsia"/>
          <w:color w:val="000000"/>
          <w:lang w:val="en-US" w:eastAsia="zh-CN"/>
        </w:rPr>
        <w:t>荣获</w:t>
      </w:r>
      <w:r>
        <w:rPr>
          <w:rFonts w:hint="eastAsia"/>
          <w:color w:val="000000"/>
        </w:rPr>
        <w:t>特等奖2项、一等奖2项、二等奖6项、三等奖12项荣获“优胜杯”，国赛二等奖1项、三等奖2项</w:t>
      </w:r>
      <w:r>
        <w:rPr>
          <w:color w:val="000000"/>
        </w:rPr>
        <w:t>；开展校园文化活动 200 余场，打造海洋校园文化品牌项目 5 个，学生社团开展活动 680 场，覆盖学生 5.8 万人次；组建社会实践团队 95 支，形成高质量调研报告、短视频等成果 12 份，开展社会实践成果展 1 场；志愿服务累计时长 15.2 万小时，打造精品志愿服务项目 9 项</w:t>
      </w:r>
      <w:r>
        <w:rPr>
          <w:rFonts w:hint="eastAsia"/>
          <w:color w:val="000000"/>
          <w:lang w:eastAsia="zh-CN"/>
        </w:rPr>
        <w:t>；</w:t>
      </w:r>
      <w:r>
        <w:rPr>
          <w:color w:val="000000"/>
        </w:rPr>
        <w:t>学生创新精神、实践能力、社会责任感显著提升，团学干部综合素质明显增强，团组织凝聚力和战斗力进一步提升，得到学校领导、师生及社会各界的广泛认可。</w:t>
      </w:r>
    </w:p>
    <w:p w14:paraId="24C09AD7">
      <w:pPr>
        <w:keepNext w:val="0"/>
        <w:keepLines w:val="0"/>
        <w:pageBreakBefore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楷体_GB2312" w:hAnsi="Times New Roman" w:eastAsia="楷体_GB2312" w:cs="Times New Roman"/>
          <w:b/>
          <w:bCs/>
          <w:color w:val="000000" w:themeColor="text1"/>
          <w:sz w:val="32"/>
          <w:szCs w:val="32"/>
          <w14:textFill>
            <w14:solidFill>
              <w14:schemeClr w14:val="tx1"/>
            </w14:solidFill>
          </w14:textFill>
        </w:rPr>
      </w:pPr>
      <w:r>
        <w:rPr>
          <w:rFonts w:hint="eastAsia" w:ascii="楷体_GB2312" w:hAnsi="Times New Roman" w:eastAsia="楷体_GB2312" w:cs="Times New Roman"/>
          <w:b/>
          <w:bCs/>
          <w:color w:val="000000" w:themeColor="text1"/>
          <w:sz w:val="32"/>
          <w:szCs w:val="32"/>
          <w14:textFill>
            <w14:solidFill>
              <w14:schemeClr w14:val="tx1"/>
            </w14:solidFill>
          </w14:textFill>
        </w:rPr>
        <w:t>（五）学科、硕士学位点建设。</w:t>
      </w:r>
    </w:p>
    <w:p w14:paraId="1D4E1904">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Times New Roman" w:eastAsia="仿宋_GB2312" w:cs="Times New Roman"/>
          <w:color w:val="000000" w:themeColor="text1"/>
          <w:sz w:val="32"/>
          <w:szCs w:val="32"/>
          <w:lang w:eastAsia="zh-CN"/>
          <w14:textFill>
            <w14:solidFill>
              <w14:schemeClr w14:val="tx1"/>
            </w14:solidFill>
          </w14:textFill>
        </w:rPr>
      </w:pP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学科专业结构方面注重优化调整专业布局，停招8个本科专业，申报5个新专业，涉海专业占比升至42%，学科专业与“快速强海”的契合度显著增强。加强学位点建设。申报2025-2030年省级学位授予单位和学位授权点立项建设，5个学科获批博士点立项建设</w:t>
      </w:r>
      <w:r>
        <w:rPr>
          <w:rFonts w:hint="default" w:ascii="仿宋_GB2312" w:hAnsi="Times New Roman" w:eastAsia="仿宋_GB2312" w:cs="Times New Roman"/>
          <w:color w:val="000000" w:themeColor="text1"/>
          <w:sz w:val="32"/>
          <w:szCs w:val="32"/>
          <w:lang w:val="en-US" w:eastAsia="zh-CN"/>
          <w14:textFill>
            <w14:solidFill>
              <w14:schemeClr w14:val="tx1"/>
            </w14:solidFill>
          </w14:textFill>
        </w:rPr>
        <w:t>，</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18个学科获批硕士点立项建设，在建4个省级重点学科，学科特色更加凝练</w:t>
      </w:r>
      <w:r>
        <w:rPr>
          <w:rFonts w:hint="eastAsia" w:ascii="仿宋_GB2312" w:hAnsi="Times New Roman" w:eastAsia="仿宋_GB2312" w:cs="Times New Roman"/>
          <w:color w:val="000000" w:themeColor="text1"/>
          <w:sz w:val="32"/>
          <w:szCs w:val="32"/>
          <w:lang w:eastAsia="zh-CN"/>
          <w14:textFill>
            <w14:solidFill>
              <w14:schemeClr w14:val="tx1"/>
            </w14:solidFill>
          </w14:textFill>
        </w:rPr>
        <w:t>，</w:t>
      </w:r>
      <w:r>
        <w:rPr>
          <w:rFonts w:hint="eastAsia" w:ascii="仿宋_GB2312" w:hAnsi="Times New Roman" w:eastAsia="仿宋_GB2312" w:cs="Times New Roman"/>
          <w:color w:val="000000" w:themeColor="text1"/>
          <w:sz w:val="32"/>
          <w:szCs w:val="32"/>
          <w14:textFill>
            <w14:solidFill>
              <w14:schemeClr w14:val="tx1"/>
            </w14:solidFill>
          </w14:textFill>
        </w:rPr>
        <w:t>在“十四五”期间（至2025年）力争全面达到更名“大学”的条件，并最终建设成为一所热带特色鲜明的高水平应用型海洋大学</w:t>
      </w:r>
      <w:r>
        <w:rPr>
          <w:rFonts w:hint="eastAsia" w:ascii="仿宋_GB2312" w:hAnsi="Times New Roman" w:eastAsia="仿宋_GB2312" w:cs="Times New Roman"/>
          <w:color w:val="000000" w:themeColor="text1"/>
          <w:sz w:val="32"/>
          <w:szCs w:val="32"/>
          <w:lang w:eastAsia="zh-CN"/>
          <w14:textFill>
            <w14:solidFill>
              <w14:schemeClr w14:val="tx1"/>
            </w14:solidFill>
          </w14:textFill>
        </w:rPr>
        <w:t>。</w:t>
      </w:r>
    </w:p>
    <w:p w14:paraId="29785D80">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 w:eastAsia="仿宋_GB2312"/>
          <w:sz w:val="32"/>
          <w:szCs w:val="32"/>
          <w:lang w:val="en-US" w:eastAsia="zh-CN"/>
        </w:rPr>
      </w:pP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学科竞赛是</w:t>
      </w:r>
      <w:r>
        <w:rPr>
          <w:rFonts w:hint="eastAsia" w:ascii="仿宋_GB2312" w:hAnsi="仿宋" w:eastAsia="仿宋_GB2312"/>
          <w:sz w:val="32"/>
          <w:szCs w:val="32"/>
        </w:rPr>
        <w:t>培养大学生实践能力和创新精神的有效手段和重要载体，对提升学生综合素质具有重要意义</w:t>
      </w:r>
      <w:r>
        <w:rPr>
          <w:rFonts w:hint="eastAsia" w:ascii="仿宋_GB2312" w:hAnsi="仿宋" w:eastAsia="仿宋_GB2312"/>
          <w:sz w:val="32"/>
          <w:szCs w:val="32"/>
          <w:lang w:eastAsia="zh-CN"/>
        </w:rPr>
        <w:t>，</w:t>
      </w:r>
      <w:r>
        <w:rPr>
          <w:rFonts w:hint="eastAsia" w:ascii="仿宋_GB2312" w:hAnsi="仿宋" w:eastAsia="仿宋_GB2312"/>
          <w:sz w:val="32"/>
          <w:szCs w:val="32"/>
        </w:rPr>
        <w:t>为了进一步提高我校学科竞赛水平，充分发挥“以赛促教、以赛促学、以赛促改、以赛促建”作用，进一步提升我校师生创新精神和实践能力</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教务处负责学科竞赛的总体管理，赛事承办二级学院负责具体组织实施，有计划、有组织地做好赛事宣传、选拔、集训和参赛的全过程事务，严格执行赛事规则和纪律，保障比赛公平公正。</w:t>
      </w:r>
    </w:p>
    <w:p w14:paraId="666CD966">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宋体" w:eastAsia="仿宋_GB2312" w:cs="宋体"/>
          <w:color w:val="000000"/>
          <w:kern w:val="0"/>
          <w:sz w:val="32"/>
          <w:szCs w:val="32"/>
          <w:lang w:val="en-US" w:eastAsia="zh-CN"/>
        </w:rPr>
        <w:t>经二级学院申请，安排用于支持睿抗机器人开发者大赛(RAICOM)海南赛区竞赛、全国海洋航行器设计与制作大赛南海赛区区域赛 、海南省音乐、美术专业师生基本功展示大赛等多个学科竞赛，全校各级各类奖项共计超过400余项，其中国家级354项，省部级71项。通过该项目，“以赛促教、以赛促学、以赛促改、以赛促建”作用，进一步提升我校师生创新精神和实践能力</w:t>
      </w:r>
      <w:r>
        <w:rPr>
          <w:rFonts w:hint="eastAsia" w:ascii="仿宋_GB2312" w:hAnsi="宋体" w:eastAsia="仿宋_GB2312" w:cs="宋体"/>
          <w:color w:val="000000"/>
          <w:kern w:val="0"/>
          <w:sz w:val="32"/>
          <w:szCs w:val="32"/>
          <w:lang w:eastAsia="zh-CN"/>
        </w:rPr>
        <w:t>。</w:t>
      </w:r>
    </w:p>
    <w:p w14:paraId="7D8C7CFD">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3" w:firstLineChars="200"/>
        <w:textAlignment w:val="auto"/>
        <w:rPr>
          <w:rFonts w:ascii="仿宋_GB2312" w:hAnsi="Times New Roman" w:eastAsia="仿宋_GB2312" w:cs="Times New Roman"/>
          <w:color w:val="000000" w:themeColor="text1"/>
          <w:sz w:val="32"/>
          <w:szCs w:val="32"/>
          <w14:textFill>
            <w14:solidFill>
              <w14:schemeClr w14:val="tx1"/>
            </w14:solidFill>
          </w14:textFill>
        </w:rPr>
      </w:pPr>
      <w:r>
        <w:rPr>
          <w:rFonts w:hint="eastAsia" w:ascii="楷体_GB2312" w:hAnsi="Times New Roman" w:eastAsia="楷体_GB2312" w:cs="Times New Roman"/>
          <w:b/>
          <w:bCs/>
          <w:color w:val="000000" w:themeColor="text1"/>
          <w:sz w:val="32"/>
          <w:szCs w:val="32"/>
          <w14:textFill>
            <w14:solidFill>
              <w14:schemeClr w14:val="tx1"/>
            </w14:solidFill>
          </w14:textFill>
        </w:rPr>
        <w:t>（六）教学业务专项。</w:t>
      </w:r>
      <w:r>
        <w:rPr>
          <w:rFonts w:hint="eastAsia" w:ascii="仿宋_GB2312" w:hAnsi="宋体" w:eastAsia="仿宋_GB2312" w:cs="宋体"/>
          <w:color w:val="000000"/>
          <w:kern w:val="0"/>
          <w:sz w:val="32"/>
          <w:szCs w:val="32"/>
          <w:lang w:val="en-US" w:eastAsia="zh-CN" w:bidi="ar-SA"/>
        </w:rPr>
        <w:t>2025年围绕应用型人才培养核心目标，在教学运行保障、教学改革深化、实践创新能力培养及教学信息化建设四大方面系统推进，并取得了阶段性成果。教学运行与学生培养方面，基础保障工作扎实有序。全年共组织93名师范生完成教育教学能力考核并获得职业能力证书，为教师资格免试认定奠定基础；保障三亚与五指山两校区多媒体教室的运维，确保了基本教学秩序；在毕业环节，资金投入用于毕业论文抽检与信息化管理，服务了超4000名学生，使论文合格率达到99.9%，有效提升了论文质量；同时顺利完成了年度毕业证、学位证的采购与发放工作，并确保了与中高职院校联合办学转段升学考试的公平公正实施。在教学改革与课程建设方面，学校以产教融合为核心驱动，推动教学模式创新。</w:t>
      </w:r>
      <w:r>
        <w:rPr>
          <w:rFonts w:ascii="Times New Roman" w:hAnsi="Times New Roman" w:eastAsia="仿宋_GB2312" w:cs="Times New Roman"/>
          <w:color w:val="auto"/>
          <w:sz w:val="32"/>
          <w:szCs w:val="32"/>
        </w:rPr>
        <w:t>国家一流本科课程实现零的突破，入选教育部首批“双千”计划微专业</w:t>
      </w:r>
      <w:r>
        <w:rPr>
          <w:rFonts w:hint="eastAsia" w:ascii="Times New Roman" w:hAnsi="Times New Roman" w:eastAsia="仿宋_GB2312" w:cs="Times New Roman"/>
          <w:color w:val="auto"/>
          <w:sz w:val="32"/>
          <w:szCs w:val="32"/>
          <w:lang w:val="en-US" w:eastAsia="zh-CN"/>
        </w:rPr>
        <w:t>2个</w:t>
      </w:r>
      <w:r>
        <w:rPr>
          <w:rFonts w:ascii="Times New Roman" w:hAnsi="Times New Roman" w:eastAsia="仿宋_GB2312" w:cs="Times New Roman"/>
          <w:color w:val="auto"/>
          <w:sz w:val="32"/>
          <w:szCs w:val="32"/>
        </w:rPr>
        <w:t>，</w:t>
      </w:r>
      <w:r>
        <w:rPr>
          <w:rFonts w:hint="eastAsia" w:ascii="仿宋_GB2312" w:hAnsi="宋体" w:eastAsia="仿宋_GB2312" w:cs="宋体"/>
          <w:color w:val="000000"/>
          <w:kern w:val="0"/>
          <w:sz w:val="32"/>
          <w:szCs w:val="32"/>
          <w:lang w:val="en-US" w:eastAsia="zh-CN" w:bidi="ar-SA"/>
        </w:rPr>
        <w:t>成功立项并建设了15门校企共建课程与15门课程思政示范课程，将行业实践与思政育人深度融合。同时，重点扶持了“智能海洋装备”和“鸿洲游艇”两家校级现代产业学院，培养了12名学生，并制定了配套的培养方案与实习大纲；在教学研究层面共立项校级教改项目30项、省级教改项目46项，并资助出版了5本校级特色自编教材，为教学创新积累了力量。在实践创新与学科竞赛方面成果，积极组织教师教学创新大赛，40名教师参与校赛，最终5名教师在省级比赛中荣获三等奖。此外，通过“校友邦”平台对约7000名学生的实习见习进行了全过程信息化管理，提升了实践教学的管理效率。在教学信息化与平台建设方面，学校致力于构建智慧教学新生态。核心举措包括启动新一代教务管理系统建设，旨在实现全生命周期协同管理；建成“教管一体化”平台，初步整合了分散的教学资源与数据。此外，还完成了在线课程资源平台的引进、各类教学平台的日常运维，支持了三亚、五指山、保亭等地中小学深化应用国家智慧教育平台，拓展了社会服务职能。</w:t>
      </w:r>
    </w:p>
    <w:p w14:paraId="233B5754">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黑体" w:hAnsi="黑体" w:eastAsia="黑体" w:cs="Times New Roman"/>
          <w:color w:val="000000" w:themeColor="text1"/>
          <w:sz w:val="32"/>
          <w:szCs w:val="32"/>
          <w14:textFill>
            <w14:solidFill>
              <w14:schemeClr w14:val="tx1"/>
            </w14:solidFill>
          </w14:textFill>
        </w:rPr>
      </w:pPr>
      <w:r>
        <w:rPr>
          <w:rFonts w:ascii="黑体" w:hAnsi="黑体" w:eastAsia="黑体" w:cs="Times New Roman"/>
          <w:color w:val="000000" w:themeColor="text1"/>
          <w:sz w:val="32"/>
          <w:szCs w:val="32"/>
          <w14:textFill>
            <w14:solidFill>
              <w14:schemeClr w14:val="tx1"/>
            </w14:solidFill>
          </w14:textFill>
        </w:rPr>
        <w:t>三、主要管理措施</w:t>
      </w:r>
    </w:p>
    <w:p w14:paraId="7082F391">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学校出台了《海南热带海洋学院专项资金管理办法》（热海大办〔2020〕126号）来规范资金的管理，保证专项项目顺利实施，确保专款专用，计划财务处制定了《关于加快预算执行支出进度的管理规定》（计财〔2016〕8号）来提高专项资金的使用效率。同时，为了顺利实施、加快支出进度，把支持地方高校改革发展项目进一步细化，明确专项资金建设的具体项目的负责人，并制定项目推进计划书，明确落实完成项目的时间节点和责任部门。</w:t>
      </w:r>
    </w:p>
    <w:p w14:paraId="1B12E287">
      <w:pPr>
        <w:pStyle w:val="5"/>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firstLine="616" w:firstLineChars="200"/>
        <w:textAlignment w:val="auto"/>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32"/>
          <w:szCs w:val="32"/>
          <w14:textFill>
            <w14:solidFill>
              <w14:schemeClr w14:val="tx1"/>
            </w14:solidFill>
          </w14:textFill>
        </w:rPr>
        <w:t>科技处（人文社科处）</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依据</w:t>
      </w:r>
      <w:r>
        <w:rPr>
          <w:rFonts w:hint="eastAsia" w:ascii="仿宋_GB2312" w:hAnsi="Times New Roman" w:eastAsia="仿宋_GB2312" w:cs="Times New Roman"/>
          <w:color w:val="000000" w:themeColor="text1"/>
          <w:sz w:val="32"/>
          <w:szCs w:val="32"/>
          <w14:textFill>
            <w14:solidFill>
              <w14:schemeClr w14:val="tx1"/>
            </w14:solidFill>
          </w14:textFill>
        </w:rPr>
        <w:t>《海南热带海洋学院人才科研启动项目管理办法》（热海大办〔2024〕5号），</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对于</w:t>
      </w:r>
      <w:r>
        <w:rPr>
          <w:rFonts w:hint="eastAsia" w:ascii="仿宋_GB2312" w:hAnsi="Times New Roman" w:eastAsia="仿宋_GB2312" w:cs="Times New Roman"/>
          <w:color w:val="000000" w:themeColor="text1"/>
          <w:sz w:val="32"/>
          <w:szCs w:val="32"/>
          <w14:textFill>
            <w14:solidFill>
              <w14:schemeClr w14:val="tx1"/>
            </w14:solidFill>
          </w14:textFill>
        </w:rPr>
        <w:t>人才科研启动项目的管理严格控制成本，厉行节约，使项目经费充分地得到有效利用；人事处根据《海南热带海洋学院高层次人才引进与管理办法》</w:t>
      </w:r>
      <w:r>
        <w:rPr>
          <w:rFonts w:hint="eastAsia" w:ascii="仿宋_GB2312" w:hAnsi="Times New Roman" w:eastAsia="仿宋_GB2312" w:cs="Times New Roman"/>
          <w:color w:val="000000" w:themeColor="text1"/>
          <w:sz w:val="32"/>
          <w:szCs w:val="32"/>
          <w:lang w:eastAsia="zh-CN"/>
          <w14:textFill>
            <w14:solidFill>
              <w14:schemeClr w14:val="tx1"/>
            </w14:solidFill>
          </w14:textFill>
        </w:rPr>
        <w:t>、</w:t>
      </w:r>
      <w:r>
        <w:rPr>
          <w:rFonts w:hint="eastAsia" w:ascii="仿宋_GB2312" w:hAnsi="Times New Roman" w:eastAsia="仿宋_GB2312" w:cs="Times New Roman"/>
          <w:color w:val="000000" w:themeColor="text1"/>
          <w:sz w:val="32"/>
          <w:szCs w:val="32"/>
          <w14:textFill>
            <w14:solidFill>
              <w14:schemeClr w14:val="tx1"/>
            </w14:solidFill>
          </w14:textFill>
        </w:rPr>
        <w:t>《海南热带海洋学院柔性引进人才办法》</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及</w:t>
      </w:r>
      <w:r>
        <w:rPr>
          <w:rFonts w:hint="eastAsia" w:ascii="Times New Roman" w:hAnsi="Times New Roman" w:eastAsia="仿宋_GB2312" w:cs="宋体"/>
          <w:kern w:val="0"/>
          <w:sz w:val="32"/>
          <w:szCs w:val="32"/>
          <w:lang w:val="en-US" w:eastAsia="zh-CN"/>
        </w:rPr>
        <w:t>《海南热带海洋学院人才引进与管理办法（试行）》</w:t>
      </w:r>
      <w:r>
        <w:rPr>
          <w:rFonts w:hint="eastAsia" w:ascii="仿宋_GB2312" w:hAnsi="Times New Roman" w:eastAsia="仿宋_GB2312" w:cs="Times New Roman"/>
          <w:color w:val="000000" w:themeColor="text1"/>
          <w:sz w:val="32"/>
          <w:szCs w:val="32"/>
          <w14:textFill>
            <w14:solidFill>
              <w14:schemeClr w14:val="tx1"/>
            </w14:solidFill>
          </w14:textFill>
        </w:rPr>
        <w:t>，围绕人才引进等开展人才的各项服务；</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校团委</w:t>
      </w:r>
      <w:r>
        <w:rPr>
          <w:color w:val="000000"/>
        </w:rPr>
        <w:t>依据《海南热带海洋学院创新创业助力行动实施方案》《高校学生社团建设管理办法》《海南热带海洋学院 “第二课堂成绩单” 制度实施办法（试行）》等文件精神立项，</w:t>
      </w:r>
      <w:r>
        <w:rPr>
          <w:rFonts w:hint="eastAsia"/>
          <w:color w:val="000000"/>
          <w:lang w:eastAsia="zh-CN"/>
        </w:rPr>
        <w:t>对学生创新发展专项的项目申报、实施过程及成果进行全流程规范管理，确保项目方向与人才培养目标一致。国有资产与设备处、</w:t>
      </w:r>
      <w:r>
        <w:rPr>
          <w:rFonts w:hint="eastAsia"/>
          <w:color w:val="000000"/>
          <w:lang w:val="en-US" w:eastAsia="zh-CN"/>
        </w:rPr>
        <w:t>实验中心等部门</w:t>
      </w:r>
      <w:r>
        <w:rPr>
          <w:rFonts w:hint="eastAsia"/>
          <w:color w:val="000000"/>
          <w:lang w:eastAsia="zh-CN"/>
        </w:rPr>
        <w:t>严格执行学校分散采购相关规定，从采购需求的核实、采购方式的确定到采购过程的监督、采购结果的验收，均建立了完整的工作流程和监督机制，确保办公设备、家具及各类物资采购的规范、透明和高效。</w:t>
      </w:r>
      <w:r>
        <w:rPr>
          <w:rFonts w:hint="eastAsia" w:ascii="仿宋_GB2312" w:hAnsi="Times New Roman" w:eastAsia="仿宋_GB2312" w:cs="Times New Roman"/>
          <w:color w:val="000000" w:themeColor="text1"/>
          <w:sz w:val="32"/>
          <w:szCs w:val="32"/>
          <w14:textFill>
            <w14:solidFill>
              <w14:schemeClr w14:val="tx1"/>
            </w14:solidFill>
          </w14:textFill>
        </w:rPr>
        <w:t>后勤处按照《海南热带海洋学院后勤维修改造项目管理实施细则（试行）》《海南热带海洋学院工程（修缮）项目采购管理实施细则（试行）》《海南热带海洋学院货物和服务采购管理实施细则（试行）》等实施，项目资金的审批、拨付按照《海南热带海洋学院建设工程项目审计实施暂行办法》《海南热带海洋学院公共工程项目廉洁预警谈话工作规则（试行）》《海南热带海洋学院合同管理办法（试行）》《海南热带海洋学院经费支出审批办法（修订）》《海南热带海洋学院财务报账实施细则（试行）》等相关制度执行；教务处严格按照《教育教学改革研究项目管理办法》《海南省高等学校发展专项资金管理暂行办法》《海南热带海洋学院现代产业学院建设与管理办法（试行）》（热海大办〔2024〕1号）《海南热带海洋学院课程思政建设工作方案》《海南热带海洋学院教材管理办法（修订）》《海南热带海洋学院教学建设与改革项目经费使用管理办法（试行）》《海南热带海洋学院经费支出审批办法（试行）》等有关规定，合理安排，规范使用专项资金。</w:t>
      </w:r>
    </w:p>
    <w:p w14:paraId="4FE7EB84">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黑体" w:hAnsi="黑体" w:eastAsia="黑体" w:cs="Times New Roman"/>
          <w:color w:val="000000" w:themeColor="text1"/>
          <w:sz w:val="32"/>
          <w:szCs w:val="32"/>
          <w14:textFill>
            <w14:solidFill>
              <w14:schemeClr w14:val="tx1"/>
            </w14:solidFill>
          </w14:textFill>
        </w:rPr>
      </w:pPr>
      <w:r>
        <w:rPr>
          <w:rFonts w:ascii="黑体" w:hAnsi="黑体" w:eastAsia="黑体" w:cs="Times New Roman"/>
          <w:color w:val="000000" w:themeColor="text1"/>
          <w:sz w:val="32"/>
          <w:szCs w:val="32"/>
          <w14:textFill>
            <w14:solidFill>
              <w14:schemeClr w14:val="tx1"/>
            </w14:solidFill>
          </w14:textFill>
        </w:rPr>
        <w:t>四、问题分析及对策</w:t>
      </w:r>
    </w:p>
    <w:p w14:paraId="3F36DB03">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16" w:firstLineChars="200"/>
        <w:textAlignment w:val="auto"/>
        <w:rPr>
          <w:rFonts w:hint="eastAsia" w:ascii="仿宋_GB2312" w:hAnsi="Times New Roman" w:eastAsia="仿宋_GB2312" w:cs="Times New Roman"/>
          <w:color w:val="000000" w:themeColor="text1"/>
          <w:spacing w:val="-6"/>
          <w:sz w:val="32"/>
          <w:szCs w:val="32"/>
          <w14:textFill>
            <w14:solidFill>
              <w14:schemeClr w14:val="tx1"/>
            </w14:solidFill>
          </w14:textFill>
        </w:rPr>
      </w:pPr>
      <w:r>
        <w:rPr>
          <w:rFonts w:hint="eastAsia" w:ascii="仿宋_GB2312" w:hAnsi="Times New Roman" w:eastAsia="仿宋_GB2312" w:cs="Times New Roman"/>
          <w:color w:val="000000" w:themeColor="text1"/>
          <w:spacing w:val="-6"/>
          <w:sz w:val="32"/>
          <w:szCs w:val="32"/>
          <w14:textFill>
            <w14:solidFill>
              <w14:schemeClr w14:val="tx1"/>
            </w14:solidFill>
          </w14:textFill>
        </w:rPr>
        <w:t>我校在2025年支持地方高校改革发展项目资金的管理与使用中，严格遵循</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关于印发《支持地方高校改革发展资金管理办法》</w:t>
      </w:r>
      <w:r>
        <w:rPr>
          <w:rFonts w:hint="eastAsia" w:ascii="仿宋_GB2312" w:hAnsi="Times New Roman" w:eastAsia="仿宋_GB2312" w:cs="Times New Roman"/>
          <w:color w:val="000000" w:themeColor="text1"/>
          <w:sz w:val="32"/>
          <w:szCs w:val="32"/>
          <w14:textFill>
            <w14:solidFill>
              <w14:schemeClr w14:val="tx1"/>
            </w14:solidFill>
          </w14:textFill>
        </w:rPr>
        <w:t>(</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琼</w:t>
      </w:r>
      <w:r>
        <w:rPr>
          <w:rFonts w:hint="eastAsia" w:ascii="仿宋_GB2312" w:hAnsi="Times New Roman" w:eastAsia="仿宋_GB2312" w:cs="Times New Roman"/>
          <w:color w:val="000000" w:themeColor="text1"/>
          <w:sz w:val="32"/>
          <w:szCs w:val="32"/>
          <w14:textFill>
            <w14:solidFill>
              <w14:schemeClr w14:val="tx1"/>
            </w14:solidFill>
          </w14:textFill>
        </w:rPr>
        <w:t>财教</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规</w:t>
      </w:r>
      <w:r>
        <w:rPr>
          <w:rFonts w:hint="eastAsia" w:ascii="仿宋_GB2312" w:hAnsi="Times New Roman" w:eastAsia="仿宋_GB2312" w:cs="Times New Roman"/>
          <w:color w:val="000000" w:themeColor="text1"/>
          <w:sz w:val="32"/>
          <w:szCs w:val="32"/>
          <w14:textFill>
            <w14:solidFill>
              <w14:schemeClr w14:val="tx1"/>
            </w14:solidFill>
          </w14:textFill>
        </w:rPr>
        <w:t>〔202</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3</w:t>
      </w:r>
      <w:r>
        <w:rPr>
          <w:rFonts w:hint="eastAsia" w:ascii="仿宋_GB2312" w:hAnsi="Times New Roman" w:eastAsia="仿宋_GB2312" w:cs="Times New Roman"/>
          <w:color w:val="000000" w:themeColor="text1"/>
          <w:sz w:val="32"/>
          <w:szCs w:val="32"/>
          <w14:textFill>
            <w14:solidFill>
              <w14:schemeClr w14:val="tx1"/>
            </w14:solidFill>
          </w14:textFill>
        </w:rPr>
        <w:t>〕</w:t>
      </w:r>
      <w:r>
        <w:rPr>
          <w:rFonts w:hint="eastAsia" w:ascii="仿宋_GB2312" w:hAnsi="Times New Roman" w:eastAsia="仿宋_GB2312" w:cs="Times New Roman"/>
          <w:color w:val="000000" w:themeColor="text1"/>
          <w:sz w:val="32"/>
          <w:szCs w:val="32"/>
          <w:lang w:val="en-US" w:eastAsia="zh-CN"/>
          <w14:textFill>
            <w14:solidFill>
              <w14:schemeClr w14:val="tx1"/>
            </w14:solidFill>
          </w14:textFill>
        </w:rPr>
        <w:t>15</w:t>
      </w:r>
      <w:r>
        <w:rPr>
          <w:rFonts w:hint="eastAsia" w:ascii="仿宋_GB2312" w:hAnsi="Times New Roman" w:eastAsia="仿宋_GB2312" w:cs="Times New Roman"/>
          <w:color w:val="000000" w:themeColor="text1"/>
          <w:sz w:val="32"/>
          <w:szCs w:val="32"/>
          <w14:textFill>
            <w14:solidFill>
              <w14:schemeClr w14:val="tx1"/>
            </w14:solidFill>
          </w14:textFill>
        </w:rPr>
        <w:t>号)</w:t>
      </w:r>
      <w:r>
        <w:rPr>
          <w:rFonts w:hint="eastAsia" w:ascii="仿宋_GB2312" w:hAnsi="Times New Roman" w:eastAsia="仿宋_GB2312" w:cs="Times New Roman"/>
          <w:color w:val="000000" w:themeColor="text1"/>
          <w:spacing w:val="-6"/>
          <w:sz w:val="32"/>
          <w:szCs w:val="32"/>
          <w14:textFill>
            <w14:solidFill>
              <w14:schemeClr w14:val="tx1"/>
            </w14:solidFill>
          </w14:textFill>
        </w:rPr>
        <w:t>文件精神，以实现高水平应用型海洋大学建设目标为引领，对项目资金进行了科学规划与合理安排。在管理机制上，学校明确了各部门的权责分工，建立了规范的管理流程，确保项目管理有章可循、有规可依。我们始终坚持“专款专用、注重绩效”的原则，对资金实行全过程闭环管理，确保了各项支出规范、严谨、高效。得益于系统的规划和严格的执行，2025年度各项目均按计划顺利推进，基本达成了年度绩效目标。</w:t>
      </w:r>
    </w:p>
    <w:p w14:paraId="1795059A">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16" w:firstLineChars="200"/>
        <w:textAlignment w:val="auto"/>
        <w:rPr>
          <w:rFonts w:hint="eastAsia" w:ascii="仿宋_GB2312" w:hAnsi="Times New Roman" w:eastAsia="仿宋_GB2312" w:cs="Times New Roman"/>
          <w:color w:val="000000" w:themeColor="text1"/>
          <w:spacing w:val="-6"/>
          <w:sz w:val="32"/>
          <w:szCs w:val="32"/>
          <w14:textFill>
            <w14:solidFill>
              <w14:schemeClr w14:val="tx1"/>
            </w14:solidFill>
          </w14:textFill>
        </w:rPr>
      </w:pPr>
      <w:r>
        <w:rPr>
          <w:rFonts w:hint="eastAsia" w:ascii="仿宋_GB2312" w:hAnsi="Times New Roman" w:eastAsia="仿宋_GB2312" w:cs="Times New Roman"/>
          <w:color w:val="000000" w:themeColor="text1"/>
          <w:spacing w:val="-6"/>
          <w:sz w:val="32"/>
          <w:szCs w:val="32"/>
          <w14:textFill>
            <w14:solidFill>
              <w14:schemeClr w14:val="tx1"/>
            </w14:solidFill>
          </w14:textFill>
        </w:rPr>
        <w:t>项目的实施有效改善了学校的办学条件，促进了人才培养、科学研究、社会服务与文化传承创新等核心职能的协同发展。特别是在支撑学校“深度转海”战略、服务海南自由贸易港建设方面，通过重点投入现代产业学院、海洋特色学科竞赛、智慧海洋教学平台等项目，强化了学校的海洋办学特色与应用型人才培养能力，为学校建设成为热带特色鲜明的高水平海洋大学奠定了坚实基础。</w:t>
      </w:r>
    </w:p>
    <w:p w14:paraId="54AFD1F7">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16" w:firstLineChars="200"/>
        <w:textAlignment w:val="auto"/>
        <w:rPr>
          <w:rFonts w:hint="eastAsia" w:ascii="仿宋_GB2312" w:hAnsi="Times New Roman" w:eastAsia="仿宋_GB2312" w:cs="Times New Roman"/>
          <w:color w:val="000000" w:themeColor="text1"/>
          <w:spacing w:val="-6"/>
          <w:sz w:val="32"/>
          <w:szCs w:val="32"/>
          <w14:textFill>
            <w14:solidFill>
              <w14:schemeClr w14:val="tx1"/>
            </w14:solidFill>
          </w14:textFill>
        </w:rPr>
      </w:pPr>
      <w:r>
        <w:rPr>
          <w:rFonts w:hint="eastAsia" w:ascii="仿宋_GB2312" w:hAnsi="Times New Roman" w:eastAsia="仿宋_GB2312" w:cs="Times New Roman"/>
          <w:color w:val="000000" w:themeColor="text1"/>
          <w:spacing w:val="-6"/>
          <w:sz w:val="32"/>
          <w:szCs w:val="32"/>
          <w14:textFill>
            <w14:solidFill>
              <w14:schemeClr w14:val="tx1"/>
            </w14:solidFill>
          </w14:textFill>
        </w:rPr>
        <w:t>然而，在资金管理与执行过程中，我们也清醒地认识到一些亟待改进的问题：一是中央财政支持地方高校改革发展资金总量相对有限，导致经费投向较为分散，难以集中资源打造具有显著显示度的高水平、标杆性项目，制约了规模效应的形成。二是部分涉及政府采购的大型设备购置项目，在招标、实施与验收等环节周期较长，影响了资金的及时支付与结算效率。三是个别项目的前期论证与准备工作不够充分，在资金下达后未能迅速启动，对项目执行的序时进度产生了影响。</w:t>
      </w:r>
    </w:p>
    <w:p w14:paraId="2DDC8725">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16" w:firstLineChars="200"/>
        <w:textAlignment w:val="auto"/>
        <w:rPr>
          <w:rFonts w:hint="eastAsia" w:ascii="仿宋_GB2312" w:hAnsi="Times New Roman" w:eastAsia="仿宋_GB2312" w:cs="Times New Roman"/>
          <w:color w:val="000000" w:themeColor="text1"/>
          <w:spacing w:val="-6"/>
          <w:sz w:val="32"/>
          <w:szCs w:val="32"/>
          <w14:textFill>
            <w14:solidFill>
              <w14:schemeClr w14:val="tx1"/>
            </w14:solidFill>
          </w14:textFill>
        </w:rPr>
      </w:pPr>
      <w:r>
        <w:rPr>
          <w:rFonts w:hint="eastAsia" w:ascii="仿宋_GB2312" w:hAnsi="Times New Roman" w:eastAsia="仿宋_GB2312" w:cs="Times New Roman"/>
          <w:color w:val="000000" w:themeColor="text1"/>
          <w:spacing w:val="-6"/>
          <w:sz w:val="32"/>
          <w:szCs w:val="32"/>
          <w14:textFill>
            <w14:solidFill>
              <w14:schemeClr w14:val="tx1"/>
            </w14:solidFill>
          </w14:textFill>
        </w:rPr>
        <w:t>为支撑高水平海洋大学建设目标，必须系统性提升财政资金的管理效能与使用效益。针对现存问题，</w:t>
      </w:r>
      <w:r>
        <w:rPr>
          <w:rFonts w:hint="eastAsia" w:ascii="仿宋_GB2312" w:hAnsi="Times New Roman" w:eastAsia="仿宋_GB2312" w:cs="Times New Roman"/>
          <w:color w:val="000000" w:themeColor="text1"/>
          <w:spacing w:val="-6"/>
          <w:sz w:val="32"/>
          <w:szCs w:val="32"/>
          <w:lang w:val="en-US" w:eastAsia="zh-CN"/>
          <w14:textFill>
            <w14:solidFill>
              <w14:schemeClr w14:val="tx1"/>
            </w14:solidFill>
          </w14:textFill>
        </w:rPr>
        <w:t>我校</w:t>
      </w:r>
      <w:r>
        <w:rPr>
          <w:rFonts w:hint="eastAsia" w:ascii="仿宋_GB2312" w:hAnsi="Times New Roman" w:eastAsia="仿宋_GB2312" w:cs="Times New Roman"/>
          <w:color w:val="000000" w:themeColor="text1"/>
          <w:spacing w:val="-6"/>
          <w:sz w:val="32"/>
          <w:szCs w:val="32"/>
          <w14:textFill>
            <w14:solidFill>
              <w14:schemeClr w14:val="tx1"/>
            </w14:solidFill>
          </w14:textFill>
        </w:rPr>
        <w:t>将以“先谋事后排钱”为原则，强化项目的前期谋划与储备工作。各部门、学院需提前规划，对拟申报项目完成充分的可行性研究与论证，制定详实的实施方案与绩效目标，经学校严格审核后，方有资格纳入校项目库。项目入库后，将根据学校发展战略规划及项目成熟度，进行科学的优先级排序。所有预算安排将严格以项目入库作为前置条件，预算编制时仅从项目库中择优选取前期工作完备、论证充分的项目进行资金支持，对未纳入项目库的申请一律不予安排预算，以此从根本上改变“资金等项目”的被动局面，提升预算编制的科学性与支出效率，确保每一分财政资金都能对应一个明确的、可执行的建设任务。</w:t>
      </w:r>
    </w:p>
    <w:p w14:paraId="6704616E">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16" w:firstLineChars="200"/>
        <w:textAlignment w:val="auto"/>
        <w:rPr>
          <w:rFonts w:hint="eastAsia" w:ascii="仿宋_GB2312" w:hAnsi="Times New Roman" w:eastAsia="仿宋_GB2312" w:cs="Times New Roman"/>
          <w:color w:val="000000" w:themeColor="text1"/>
          <w:spacing w:val="-6"/>
          <w:sz w:val="32"/>
          <w:szCs w:val="32"/>
          <w14:textFill>
            <w14:solidFill>
              <w14:schemeClr w14:val="tx1"/>
            </w14:solidFill>
          </w14:textFill>
        </w:rPr>
      </w:pPr>
      <w:r>
        <w:rPr>
          <w:rFonts w:hint="eastAsia" w:ascii="仿宋_GB2312" w:hAnsi="Times New Roman" w:eastAsia="仿宋_GB2312" w:cs="Times New Roman"/>
          <w:color w:val="000000" w:themeColor="text1"/>
          <w:spacing w:val="-6"/>
          <w:sz w:val="32"/>
          <w:szCs w:val="32"/>
          <w14:textFill>
            <w14:solidFill>
              <w14:schemeClr w14:val="tx1"/>
            </w14:solidFill>
          </w14:textFill>
        </w:rPr>
        <w:t>在此基础上，学校将积极作为，主动向上级主管部门沟通汇报。依托</w:t>
      </w:r>
      <w:r>
        <w:rPr>
          <w:rFonts w:hint="eastAsia" w:ascii="仿宋_GB2312" w:hAnsi="Times New Roman" w:eastAsia="仿宋_GB2312" w:cs="Times New Roman"/>
          <w:color w:val="000000" w:themeColor="text1"/>
          <w:spacing w:val="-6"/>
          <w:sz w:val="32"/>
          <w:szCs w:val="32"/>
          <w:lang w:val="en-US" w:eastAsia="zh-CN"/>
          <w14:textFill>
            <w14:solidFill>
              <w14:schemeClr w14:val="tx1"/>
            </w14:solidFill>
          </w14:textFill>
        </w:rPr>
        <w:t>逐渐成熟</w:t>
      </w:r>
      <w:r>
        <w:rPr>
          <w:rFonts w:hint="eastAsia" w:ascii="仿宋_GB2312" w:hAnsi="Times New Roman" w:eastAsia="仿宋_GB2312" w:cs="Times New Roman"/>
          <w:color w:val="000000" w:themeColor="text1"/>
          <w:spacing w:val="-6"/>
          <w:sz w:val="32"/>
          <w:szCs w:val="32"/>
          <w14:textFill>
            <w14:solidFill>
              <w14:schemeClr w14:val="tx1"/>
            </w14:solidFill>
          </w14:textFill>
        </w:rPr>
        <w:t>的项目储备库，系统性地展示我校的建设规划与执行能力，积极争取更多的中央财政支持地方高校改革发展资金及其他专项经费，为学校跨越式发展争取更为有力的资源保障。</w:t>
      </w:r>
      <w:r>
        <w:rPr>
          <w:rFonts w:hint="eastAsia" w:ascii="仿宋_GB2312" w:hAnsi="Times New Roman" w:eastAsia="仿宋_GB2312" w:cs="Times New Roman"/>
          <w:color w:val="000000" w:themeColor="text1"/>
          <w:spacing w:val="-6"/>
          <w:sz w:val="32"/>
          <w:szCs w:val="32"/>
          <w:lang w:val="en-US" w:eastAsia="zh-CN"/>
          <w14:textFill>
            <w14:solidFill>
              <w14:schemeClr w14:val="tx1"/>
            </w14:solidFill>
          </w14:textFill>
        </w:rPr>
        <w:t>以期望</w:t>
      </w:r>
      <w:r>
        <w:rPr>
          <w:rFonts w:hint="eastAsia" w:ascii="仿宋_GB2312" w:hAnsi="Times New Roman" w:eastAsia="仿宋_GB2312" w:cs="Times New Roman"/>
          <w:color w:val="000000" w:themeColor="text1"/>
          <w:spacing w:val="-6"/>
          <w:sz w:val="32"/>
          <w:szCs w:val="32"/>
          <w14:textFill>
            <w14:solidFill>
              <w14:schemeClr w14:val="tx1"/>
            </w14:solidFill>
          </w14:textFill>
        </w:rPr>
        <w:t>通过“对内强化科学管理、对外主动争取资源”的双轮驱动，全面提升</w:t>
      </w:r>
      <w:r>
        <w:rPr>
          <w:rFonts w:hint="eastAsia" w:ascii="仿宋_GB2312" w:hAnsi="Times New Roman" w:eastAsia="仿宋_GB2312" w:cs="Times New Roman"/>
          <w:color w:val="000000" w:themeColor="text1"/>
          <w:spacing w:val="-6"/>
          <w:sz w:val="32"/>
          <w:szCs w:val="32"/>
          <w:lang w:val="en-US" w:eastAsia="zh-CN"/>
          <w14:textFill>
            <w14:solidFill>
              <w14:schemeClr w14:val="tx1"/>
            </w14:solidFill>
          </w14:textFill>
        </w:rPr>
        <w:t>我校</w:t>
      </w:r>
      <w:r>
        <w:rPr>
          <w:rFonts w:hint="eastAsia" w:ascii="仿宋_GB2312" w:hAnsi="Times New Roman" w:eastAsia="仿宋_GB2312" w:cs="Times New Roman"/>
          <w:color w:val="000000" w:themeColor="text1"/>
          <w:spacing w:val="-6"/>
          <w:sz w:val="32"/>
          <w:szCs w:val="32"/>
          <w14:textFill>
            <w14:solidFill>
              <w14:schemeClr w14:val="tx1"/>
            </w14:solidFill>
          </w14:textFill>
        </w:rPr>
        <w:t>资金统筹与项目管理水平，切实管好、用好各项资金，确保其发挥出最大的办学效益，为建设特色鲜明的一流海洋大学奠定坚实的财务基础。</w:t>
      </w:r>
    </w:p>
    <w:p w14:paraId="20AC97E7">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黑体" w:hAnsi="黑体" w:eastAsia="黑体" w:cs="Times New Roman"/>
          <w:color w:val="000000" w:themeColor="text1"/>
          <w:sz w:val="32"/>
          <w:szCs w:val="32"/>
          <w:lang w:val="en-US" w:eastAsia="zh-CN"/>
          <w14:textFill>
            <w14:solidFill>
              <w14:schemeClr w14:val="tx1"/>
            </w14:solidFill>
          </w14:textFill>
        </w:rPr>
      </w:pPr>
      <w:r>
        <w:rPr>
          <w:rFonts w:hint="eastAsia" w:ascii="黑体" w:hAnsi="黑体" w:eastAsia="黑体" w:cs="Times New Roman"/>
          <w:color w:val="000000" w:themeColor="text1"/>
          <w:sz w:val="32"/>
          <w:szCs w:val="32"/>
          <w:lang w:val="en-US" w:eastAsia="zh-CN"/>
          <w14:textFill>
            <w14:solidFill>
              <w14:schemeClr w14:val="tx1"/>
            </w14:solidFill>
          </w14:textFill>
        </w:rPr>
        <w:t>五</w:t>
      </w:r>
      <w:r>
        <w:rPr>
          <w:rFonts w:ascii="黑体" w:hAnsi="黑体" w:eastAsia="黑体" w:cs="Times New Roman"/>
          <w:color w:val="000000" w:themeColor="text1"/>
          <w:sz w:val="32"/>
          <w:szCs w:val="32"/>
          <w14:textFill>
            <w14:solidFill>
              <w14:schemeClr w14:val="tx1"/>
            </w14:solidFill>
          </w14:textFill>
        </w:rPr>
        <w:t>、</w:t>
      </w:r>
      <w:r>
        <w:rPr>
          <w:rFonts w:hint="eastAsia" w:ascii="黑体" w:hAnsi="黑体" w:eastAsia="黑体" w:cs="Times New Roman"/>
          <w:color w:val="000000" w:themeColor="text1"/>
          <w:sz w:val="32"/>
          <w:szCs w:val="32"/>
          <w:lang w:val="en-US" w:eastAsia="zh-CN"/>
          <w14:textFill>
            <w14:solidFill>
              <w14:schemeClr w14:val="tx1"/>
            </w14:solidFill>
          </w14:textFill>
        </w:rPr>
        <w:t>2026年工作计划</w:t>
      </w:r>
    </w:p>
    <w:p w14:paraId="0C7DDCBF">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黑体" w:hAnsi="黑体" w:eastAsia="黑体" w:cs="Times New Roman"/>
          <w:color w:val="000000" w:themeColor="text1"/>
          <w:sz w:val="32"/>
          <w:szCs w:val="32"/>
          <w:lang w:val="en-US" w:eastAsia="zh-CN"/>
          <w14:textFill>
            <w14:solidFill>
              <w14:schemeClr w14:val="tx1"/>
            </w14:solidFill>
          </w14:textFill>
        </w:rPr>
      </w:pPr>
      <w:r>
        <w:rPr>
          <w:rFonts w:hint="eastAsia" w:ascii="黑体" w:hAnsi="黑体" w:eastAsia="黑体" w:cs="Times New Roman"/>
          <w:color w:val="000000" w:themeColor="text1"/>
          <w:sz w:val="32"/>
          <w:szCs w:val="32"/>
          <w:lang w:val="en-US" w:eastAsia="zh-CN"/>
          <w14:textFill>
            <w14:solidFill>
              <w14:schemeClr w14:val="tx1"/>
            </w14:solidFill>
          </w14:textFill>
        </w:rPr>
        <w:t>（一）重点工作任务</w:t>
      </w:r>
    </w:p>
    <w:p w14:paraId="2C1BDDEE">
      <w:pPr>
        <w:keepNext w:val="0"/>
        <w:keepLines w:val="0"/>
        <w:pageBreakBefore w:val="0"/>
        <w:kinsoku/>
        <w:wordWrap/>
        <w:overflowPunct/>
        <w:topLinePunct w:val="0"/>
        <w:autoSpaceDE/>
        <w:autoSpaceDN/>
        <w:bidi w:val="0"/>
        <w:adjustRightInd/>
        <w:snapToGrid/>
        <w:spacing w:beforeAutospacing="0" w:afterAutospacing="0" w:line="560" w:lineRule="exact"/>
        <w:ind w:firstLine="616" w:firstLineChars="200"/>
        <w:textAlignment w:val="auto"/>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t>2026年是“十五五”事业发展规划开局之年，是学校开启一流海洋大学建设“强海元年”。站在新的历史起点，学校将以建设国内一流海洋大学为总目标，主动对接国家战略和区域发展需求，把握机遇、担当作为，围绕“申博”攻坚、更名“大学”、提升核心竞争力等关键任务，科学谋划和高效使用支持地方高校改革发展项目资金，奋力迈向“快速强海”发展新阶段。重点工作计划如下：</w:t>
      </w:r>
    </w:p>
    <w:p w14:paraId="596F8830">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16" w:firstLineChars="200"/>
        <w:textAlignment w:val="auto"/>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t>1.持续强化人才队伍建设。</w:t>
      </w:r>
    </w:p>
    <w:p w14:paraId="18D0ACCC">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16" w:firstLineChars="200"/>
        <w:textAlignment w:val="auto"/>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t>结合学校“十五五”规划，根据学校“更大申博”的目标，深刻领会学校“1236”发展战略重点，快速强海发展的战略需求，做好2026年高层次人才团队引进和人才招聘工作。按照需求计划引进在学科领域、团队建设、人才培养、科研创新等方面起带头作用的高水平专家40人，着力引进和培养一批青年教学科研后备军，壮大师资队伍，扩大人才增量、优化人才存量，为学校“更大申博”“快速强海”发展中奠定坚实的人才基础。优化人才科研启动项目管理，提高资金使用效益，鼓励和支持引进人才尽快产出高水平科研成果。加强现有师资队伍的培养与培训，实施青年教师能力提升计划，通过国内外访学、学术交流、企业实践等多种途径，提升教师的教学科研水平和实践能力。</w:t>
      </w:r>
    </w:p>
    <w:p w14:paraId="7BF8C72B">
      <w:pPr>
        <w:numPr>
          <w:ilvl w:val="0"/>
          <w:numId w:val="0"/>
        </w:numPr>
        <w:spacing w:line="520" w:lineRule="exact"/>
        <w:ind w:firstLine="616" w:firstLineChars="200"/>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t>2.深化科研创新与平台建设。</w:t>
      </w:r>
    </w:p>
    <w:p w14:paraId="2F40EFE6">
      <w:pPr>
        <w:numPr>
          <w:ilvl w:val="0"/>
          <w:numId w:val="0"/>
        </w:numPr>
        <w:spacing w:line="520" w:lineRule="exact"/>
        <w:ind w:firstLine="616" w:firstLineChars="200"/>
        <w:rPr>
          <w:rFonts w:hint="default"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t>围绕学校发展战略，以学科建设与科研能力提升为核心，重点推进学会建设、平台搭建、学术交流与科技园发展等工作。持续支持国家大学科技园等科研平台的建设与发展，提升其服务地方经济社会发展的能力。鼓励科研团队围绕国家战略和海南自贸港建设需求，积极申报国家级、省部级科研项目，力争在科研项目数量和质量上取得新突破。加强科研成果转化，推动产学研深度融合，提升学校服务地方产业发展的贡献度。增强学校学术影响力与创新能力，力争在省部级平台申报、学术组织建设、高层次学术活动等方面取得实质性进展。</w:t>
      </w:r>
    </w:p>
    <w:p w14:paraId="46C2FDA4">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16" w:firstLineChars="200"/>
        <w:textAlignment w:val="auto"/>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t>3.全面提升人才培养质量。</w:t>
      </w:r>
    </w:p>
    <w:p w14:paraId="64FD845E">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16" w:firstLineChars="200"/>
        <w:textAlignment w:val="auto"/>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t>深入推进教育教学改革，继续加强课程思政建设，立项建设一批校级及省级课程思政示范课程和教学团队。深化产教融合、校企合作，</w:t>
      </w:r>
      <w:r>
        <w:rPr>
          <w:rFonts w:hint="default" w:ascii="Times New Roman" w:hAnsi="Times New Roman" w:eastAsia="仿宋_GB2312" w:cs="Times New Roman"/>
          <w:color w:val="auto"/>
          <w:sz w:val="32"/>
          <w:szCs w:val="32"/>
          <w:shd w:val="clear" w:color="auto" w:fill="FFFFFF"/>
        </w:rPr>
        <w:t>赋能糟粕醋</w:t>
      </w:r>
      <w:r>
        <w:rPr>
          <w:rFonts w:hint="eastAsia" w:ascii="Times New Roman" w:hAnsi="Times New Roman" w:eastAsia="仿宋_GB2312" w:cs="Times New Roman"/>
          <w:color w:val="auto"/>
          <w:sz w:val="32"/>
          <w:szCs w:val="32"/>
          <w:shd w:val="clear" w:color="auto" w:fill="FFFFFF"/>
          <w:lang w:eastAsia="zh-CN"/>
        </w:rPr>
        <w:t>、</w:t>
      </w:r>
      <w:r>
        <w:rPr>
          <w:rFonts w:hint="eastAsia" w:ascii="Times New Roman" w:hAnsi="Times New Roman" w:eastAsia="仿宋_GB2312" w:cs="Times New Roman"/>
          <w:color w:val="auto"/>
          <w:sz w:val="32"/>
          <w:szCs w:val="32"/>
          <w:shd w:val="clear" w:color="auto" w:fill="FFFFFF"/>
          <w:lang w:val="en-US" w:eastAsia="zh-CN"/>
        </w:rPr>
        <w:t>渔业</w:t>
      </w:r>
      <w:r>
        <w:rPr>
          <w:rFonts w:hint="eastAsia" w:ascii="Times New Roman" w:hAnsi="Times New Roman" w:eastAsia="仿宋_GB2312" w:cs="Times New Roman"/>
          <w:color w:val="auto"/>
          <w:sz w:val="32"/>
          <w:szCs w:val="32"/>
          <w:shd w:val="clear" w:color="auto" w:fill="FFFFFF"/>
          <w:lang w:eastAsia="zh-CN"/>
        </w:rPr>
        <w:t>养殖</w:t>
      </w:r>
      <w:r>
        <w:rPr>
          <w:rFonts w:hint="default" w:ascii="Times New Roman" w:hAnsi="Times New Roman" w:eastAsia="仿宋_GB2312" w:cs="Times New Roman"/>
          <w:color w:val="auto"/>
          <w:sz w:val="32"/>
          <w:szCs w:val="32"/>
          <w:shd w:val="clear" w:color="auto" w:fill="FFFFFF"/>
        </w:rPr>
        <w:t>等产业升级</w:t>
      </w:r>
      <w:r>
        <w:rPr>
          <w:rFonts w:hint="eastAsia" w:ascii="Times New Roman" w:hAnsi="Times New Roman" w:eastAsia="仿宋_GB2312" w:cs="Times New Roman"/>
          <w:color w:val="auto"/>
          <w:sz w:val="32"/>
          <w:szCs w:val="32"/>
          <w:shd w:val="clear" w:color="auto" w:fill="FFFFFF"/>
          <w:lang w:eastAsia="zh-CN"/>
        </w:rPr>
        <w:t>；</w:t>
      </w:r>
      <w:r>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t>支持现代产业学院建设，提升学生的实践能力和创新精神。大力支持学科竞赛活动，完善竞赛组织管理机制，力争在国家级、省部级重要赛事中取得更优异成绩，充分发挥“以赛促教、以赛促学、以赛促改、以赛促建”的作用。加强创新创业教育，支持学生开展创新创业项目，培养学生的创业意识和创业能力。</w:t>
      </w:r>
    </w:p>
    <w:p w14:paraId="27A5AB57">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16" w:firstLineChars="200"/>
        <w:textAlignment w:val="auto"/>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t>4.加强学科与学位点建设。</w:t>
      </w:r>
    </w:p>
    <w:p w14:paraId="317EAD49">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16" w:firstLineChars="200"/>
        <w:textAlignment w:val="auto"/>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t>2026年将以建设一流海洋大学为目标，支持不少于7个学科以及16个学位点的建设。以省级特色重点学科为牵引，强化海洋、水产、民族、工商管理、生态等优势特色学科的内涵建设，依据年度建设规划科学制定绩效目标、统筹安排相关资金，扎实推进第六轮省级特色重点学科建设。</w:t>
      </w:r>
    </w:p>
    <w:p w14:paraId="0926030D">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16" w:firstLineChars="200"/>
        <w:textAlignment w:val="auto"/>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t>5.持续推进公共服务体系建设。</w:t>
      </w:r>
    </w:p>
    <w:p w14:paraId="6CB2E051">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16" w:firstLineChars="200"/>
        <w:textAlignment w:val="auto"/>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t>构建高质量实验人才队伍和实验管理体系，提供可靠、安全的实验室环境，满足师生教学、科研和学校审核评估整改要求；落实全年度全校信息化系统运维保障工作，确保学校信息化系统支持业务工作零故障，保障全年得以正常运转；聘请专业服务公司负责卫生保洁、水电管理、电梯维护、病媒防制等物业服务，提高后勤管理服务水平,实现学校设施设备运行安全稳定，教学科研和生活有序，校园环境整洁卫生优美，为学校建设发展提供强有力的保障和支撑。</w:t>
      </w:r>
    </w:p>
    <w:p w14:paraId="32D9421C">
      <w:pPr>
        <w:keepNext w:val="0"/>
        <w:keepLines w:val="0"/>
        <w:pageBreakBefore w:val="0"/>
        <w:numPr>
          <w:ilvl w:val="0"/>
          <w:numId w:val="1"/>
        </w:numPr>
        <w:kinsoku/>
        <w:wordWrap/>
        <w:overflowPunct/>
        <w:topLinePunct w:val="0"/>
        <w:autoSpaceDE/>
        <w:autoSpaceDN/>
        <w:bidi w:val="0"/>
        <w:adjustRightInd/>
        <w:snapToGrid/>
        <w:spacing w:beforeAutospacing="0" w:afterAutospacing="0" w:line="560" w:lineRule="exact"/>
        <w:ind w:left="0" w:leftChars="0" w:firstLine="619" w:firstLineChars="200"/>
        <w:textAlignment w:val="auto"/>
        <w:rPr>
          <w:rFonts w:hint="eastAsia" w:ascii="仿宋_GB2312" w:hAnsi="Times New Roman" w:eastAsia="仿宋_GB2312" w:cs="Times New Roman"/>
          <w:b/>
          <w:bCs/>
          <w:color w:val="000000" w:themeColor="text1"/>
          <w:spacing w:val="-6"/>
          <w:kern w:val="2"/>
          <w:sz w:val="32"/>
          <w:szCs w:val="32"/>
          <w:lang w:val="en-US" w:eastAsia="zh-CN" w:bidi="ar-SA"/>
          <w14:textFill>
            <w14:solidFill>
              <w14:schemeClr w14:val="tx1"/>
            </w14:solidFill>
          </w14:textFill>
        </w:rPr>
      </w:pPr>
      <w:r>
        <w:rPr>
          <w:rFonts w:hint="eastAsia" w:ascii="仿宋_GB2312" w:hAnsi="Times New Roman" w:eastAsia="仿宋_GB2312" w:cs="Times New Roman"/>
          <w:b/>
          <w:bCs/>
          <w:color w:val="000000" w:themeColor="text1"/>
          <w:spacing w:val="-6"/>
          <w:kern w:val="2"/>
          <w:sz w:val="32"/>
          <w:szCs w:val="32"/>
          <w:lang w:val="en-US" w:eastAsia="zh-CN" w:bidi="ar-SA"/>
          <w14:textFill>
            <w14:solidFill>
              <w14:schemeClr w14:val="tx1"/>
            </w14:solidFill>
          </w14:textFill>
        </w:rPr>
        <w:t>资金安排计划</w:t>
      </w:r>
    </w:p>
    <w:p w14:paraId="3102514E">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16" w:firstLineChars="200"/>
        <w:textAlignment w:val="auto"/>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spacing w:val="-6"/>
          <w:kern w:val="2"/>
          <w:sz w:val="32"/>
          <w:szCs w:val="32"/>
          <w:lang w:val="en-US" w:eastAsia="zh-CN" w:bidi="ar-SA"/>
          <w14:textFill>
            <w14:solidFill>
              <w14:schemeClr w14:val="tx1"/>
            </w14:solidFill>
          </w14:textFill>
        </w:rPr>
        <w:t>2026年支持地方高校改革发展项目主要用于人才队伍建设项目、科研创新与平台建设项目、公共服务体系建设项目、教学业务专项、学科及硕士学位点建设、学生创新发展专项等项目建设，具体资金安排如下：</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2703"/>
        <w:gridCol w:w="1602"/>
        <w:gridCol w:w="2160"/>
        <w:gridCol w:w="1258"/>
      </w:tblGrid>
      <w:tr w14:paraId="3290B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99" w:type="dxa"/>
            <w:vAlign w:val="center"/>
          </w:tcPr>
          <w:p w14:paraId="0CAEBD3C">
            <w:pPr>
              <w:jc w:val="center"/>
              <w:rPr>
                <w:rFonts w:hint="eastAsia" w:ascii="仿宋" w:hAnsi="仿宋" w:eastAsia="仿宋" w:cs="仿宋"/>
                <w:b/>
                <w:bCs/>
                <w:sz w:val="21"/>
                <w:szCs w:val="21"/>
              </w:rPr>
            </w:pPr>
            <w:r>
              <w:rPr>
                <w:rFonts w:hint="eastAsia" w:ascii="仿宋" w:hAnsi="仿宋" w:eastAsia="仿宋" w:cs="仿宋"/>
                <w:b/>
                <w:bCs/>
                <w:sz w:val="21"/>
                <w:szCs w:val="21"/>
              </w:rPr>
              <w:t>序号</w:t>
            </w:r>
          </w:p>
        </w:tc>
        <w:tc>
          <w:tcPr>
            <w:tcW w:w="2703" w:type="dxa"/>
            <w:vAlign w:val="center"/>
          </w:tcPr>
          <w:p w14:paraId="5CB04499">
            <w:pPr>
              <w:jc w:val="center"/>
              <w:rPr>
                <w:rFonts w:hint="eastAsia" w:ascii="仿宋" w:hAnsi="仿宋" w:eastAsia="仿宋" w:cs="仿宋"/>
                <w:b/>
                <w:bCs/>
                <w:sz w:val="21"/>
                <w:szCs w:val="21"/>
              </w:rPr>
            </w:pPr>
            <w:r>
              <w:rPr>
                <w:rFonts w:hint="eastAsia" w:ascii="仿宋" w:hAnsi="仿宋" w:eastAsia="仿宋" w:cs="仿宋"/>
                <w:b/>
                <w:bCs/>
                <w:sz w:val="21"/>
                <w:szCs w:val="21"/>
              </w:rPr>
              <w:t>项目</w:t>
            </w:r>
          </w:p>
        </w:tc>
        <w:tc>
          <w:tcPr>
            <w:tcW w:w="1602" w:type="dxa"/>
            <w:vAlign w:val="center"/>
          </w:tcPr>
          <w:p w14:paraId="5B691AB5">
            <w:pPr>
              <w:jc w:val="center"/>
              <w:rPr>
                <w:rFonts w:hint="default" w:ascii="仿宋" w:hAnsi="仿宋" w:eastAsia="仿宋" w:cs="仿宋"/>
                <w:b/>
                <w:bCs/>
                <w:sz w:val="21"/>
                <w:szCs w:val="21"/>
                <w:lang w:val="en-US" w:eastAsia="zh-CN"/>
              </w:rPr>
            </w:pPr>
            <w:r>
              <w:rPr>
                <w:rFonts w:hint="eastAsia" w:ascii="仿宋" w:hAnsi="仿宋" w:eastAsia="仿宋" w:cs="仿宋"/>
                <w:b/>
                <w:bCs/>
                <w:sz w:val="21"/>
                <w:szCs w:val="21"/>
              </w:rPr>
              <w:t>拟安排金额</w:t>
            </w:r>
            <w:r>
              <w:rPr>
                <w:rFonts w:hint="eastAsia" w:ascii="仿宋" w:hAnsi="仿宋" w:eastAsia="仿宋" w:cs="仿宋"/>
                <w:b/>
                <w:bCs/>
                <w:sz w:val="21"/>
                <w:szCs w:val="21"/>
              </w:rPr>
              <w:br w:type="textWrapping"/>
            </w:r>
            <w:r>
              <w:rPr>
                <w:rFonts w:hint="eastAsia" w:ascii="仿宋" w:hAnsi="仿宋" w:eastAsia="仿宋" w:cs="仿宋"/>
                <w:b/>
                <w:bCs/>
                <w:sz w:val="21"/>
                <w:szCs w:val="21"/>
                <w:lang w:eastAsia="zh-CN"/>
              </w:rPr>
              <w:t>（</w:t>
            </w:r>
            <w:r>
              <w:rPr>
                <w:rFonts w:hint="eastAsia" w:ascii="仿宋" w:hAnsi="仿宋" w:eastAsia="仿宋" w:cs="仿宋"/>
                <w:b/>
                <w:bCs/>
                <w:sz w:val="21"/>
                <w:szCs w:val="21"/>
                <w:lang w:val="en-US" w:eastAsia="zh-CN"/>
              </w:rPr>
              <w:t>万元）</w:t>
            </w:r>
          </w:p>
        </w:tc>
        <w:tc>
          <w:tcPr>
            <w:tcW w:w="2160" w:type="dxa"/>
            <w:vAlign w:val="center"/>
          </w:tcPr>
          <w:p w14:paraId="595CC276">
            <w:pPr>
              <w:jc w:val="center"/>
              <w:rPr>
                <w:rFonts w:hint="eastAsia" w:ascii="仿宋" w:hAnsi="仿宋" w:eastAsia="仿宋" w:cs="仿宋"/>
                <w:b/>
                <w:bCs/>
                <w:sz w:val="21"/>
                <w:szCs w:val="21"/>
              </w:rPr>
            </w:pPr>
            <w:r>
              <w:rPr>
                <w:rFonts w:hint="eastAsia" w:ascii="仿宋" w:hAnsi="仿宋" w:eastAsia="仿宋" w:cs="仿宋"/>
                <w:b/>
                <w:bCs/>
                <w:sz w:val="21"/>
                <w:szCs w:val="21"/>
              </w:rPr>
              <w:t>职能部门</w:t>
            </w:r>
          </w:p>
        </w:tc>
        <w:tc>
          <w:tcPr>
            <w:tcW w:w="1258" w:type="dxa"/>
            <w:vAlign w:val="center"/>
          </w:tcPr>
          <w:p w14:paraId="77120C70">
            <w:pPr>
              <w:jc w:val="center"/>
              <w:rPr>
                <w:rFonts w:hint="eastAsia" w:ascii="仿宋" w:hAnsi="仿宋" w:eastAsia="仿宋" w:cs="仿宋"/>
                <w:b/>
                <w:bCs/>
                <w:sz w:val="21"/>
                <w:szCs w:val="21"/>
              </w:rPr>
            </w:pPr>
            <w:r>
              <w:rPr>
                <w:rFonts w:hint="eastAsia" w:ascii="仿宋" w:hAnsi="仿宋" w:eastAsia="仿宋" w:cs="仿宋"/>
                <w:b/>
                <w:bCs/>
                <w:sz w:val="21"/>
                <w:szCs w:val="21"/>
              </w:rPr>
              <w:t>备注</w:t>
            </w:r>
          </w:p>
        </w:tc>
      </w:tr>
      <w:tr w14:paraId="783A8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9" w:type="dxa"/>
            <w:vAlign w:val="center"/>
          </w:tcPr>
          <w:p w14:paraId="07701B96">
            <w:pPr>
              <w:jc w:val="center"/>
              <w:rPr>
                <w:rFonts w:hint="eastAsia" w:ascii="仿宋" w:hAnsi="仿宋" w:eastAsia="仿宋" w:cs="仿宋"/>
                <w:sz w:val="21"/>
                <w:szCs w:val="21"/>
              </w:rPr>
            </w:pPr>
            <w:r>
              <w:rPr>
                <w:rFonts w:hint="eastAsia" w:ascii="仿宋" w:hAnsi="仿宋" w:eastAsia="仿宋" w:cs="仿宋"/>
                <w:sz w:val="21"/>
                <w:szCs w:val="21"/>
              </w:rPr>
              <w:t>1</w:t>
            </w:r>
          </w:p>
        </w:tc>
        <w:tc>
          <w:tcPr>
            <w:tcW w:w="2703" w:type="dxa"/>
            <w:vAlign w:val="center"/>
          </w:tcPr>
          <w:p w14:paraId="53711497">
            <w:pPr>
              <w:jc w:val="center"/>
              <w:rPr>
                <w:rFonts w:hint="eastAsia" w:ascii="仿宋" w:hAnsi="仿宋" w:eastAsia="仿宋" w:cs="仿宋"/>
                <w:sz w:val="21"/>
                <w:szCs w:val="21"/>
              </w:rPr>
            </w:pPr>
            <w:r>
              <w:rPr>
                <w:rFonts w:hint="eastAsia" w:ascii="仿宋" w:hAnsi="仿宋" w:eastAsia="仿宋" w:cs="仿宋"/>
                <w:sz w:val="24"/>
                <w:szCs w:val="24"/>
                <w:lang w:val="en-US" w:eastAsia="zh-CN"/>
              </w:rPr>
              <w:t>人才队伍建设</w:t>
            </w:r>
          </w:p>
        </w:tc>
        <w:tc>
          <w:tcPr>
            <w:tcW w:w="1602" w:type="dxa"/>
            <w:vAlign w:val="center"/>
          </w:tcPr>
          <w:p w14:paraId="6D81A3F4">
            <w:pPr>
              <w:jc w:val="center"/>
              <w:rPr>
                <w:rFonts w:hint="eastAsia" w:ascii="仿宋" w:hAnsi="仿宋" w:eastAsia="仿宋" w:cs="仿宋"/>
                <w:sz w:val="21"/>
                <w:szCs w:val="21"/>
              </w:rPr>
            </w:pPr>
            <w:r>
              <w:rPr>
                <w:rFonts w:hint="eastAsia" w:ascii="仿宋" w:hAnsi="仿宋" w:eastAsia="仿宋" w:cs="仿宋"/>
                <w:sz w:val="21"/>
                <w:szCs w:val="21"/>
                <w:lang w:val="en-US" w:eastAsia="zh-CN"/>
              </w:rPr>
              <w:t>2,000</w:t>
            </w:r>
          </w:p>
        </w:tc>
        <w:tc>
          <w:tcPr>
            <w:tcW w:w="2160" w:type="dxa"/>
            <w:vAlign w:val="center"/>
          </w:tcPr>
          <w:p w14:paraId="6F49054C">
            <w:pPr>
              <w:jc w:val="center"/>
              <w:rPr>
                <w:rFonts w:hint="eastAsia" w:ascii="仿宋" w:hAnsi="仿宋" w:eastAsia="仿宋" w:cs="仿宋"/>
                <w:sz w:val="21"/>
                <w:szCs w:val="21"/>
              </w:rPr>
            </w:pPr>
            <w:r>
              <w:rPr>
                <w:rFonts w:hint="eastAsia" w:ascii="仿宋" w:hAnsi="仿宋" w:eastAsia="仿宋" w:cs="仿宋"/>
                <w:sz w:val="21"/>
                <w:szCs w:val="21"/>
              </w:rPr>
              <w:t>人事处</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组织部</w:t>
            </w:r>
            <w:r>
              <w:rPr>
                <w:rFonts w:hint="eastAsia" w:ascii="仿宋" w:hAnsi="仿宋" w:eastAsia="仿宋" w:cs="仿宋"/>
                <w:sz w:val="21"/>
                <w:szCs w:val="21"/>
              </w:rPr>
              <w:t>等</w:t>
            </w:r>
          </w:p>
        </w:tc>
        <w:tc>
          <w:tcPr>
            <w:tcW w:w="1258" w:type="dxa"/>
            <w:vAlign w:val="center"/>
          </w:tcPr>
          <w:p w14:paraId="7880A046">
            <w:pPr>
              <w:jc w:val="center"/>
              <w:rPr>
                <w:rFonts w:hint="eastAsia" w:ascii="仿宋" w:hAnsi="仿宋" w:eastAsia="仿宋" w:cs="仿宋"/>
                <w:sz w:val="21"/>
                <w:szCs w:val="21"/>
              </w:rPr>
            </w:pPr>
          </w:p>
        </w:tc>
      </w:tr>
      <w:tr w14:paraId="08045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9" w:type="dxa"/>
            <w:vAlign w:val="center"/>
          </w:tcPr>
          <w:p w14:paraId="0EDD63E3">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2703" w:type="dxa"/>
            <w:vAlign w:val="center"/>
          </w:tcPr>
          <w:p w14:paraId="1A5EE67E">
            <w:pPr>
              <w:jc w:val="center"/>
              <w:rPr>
                <w:rFonts w:hint="eastAsia" w:ascii="仿宋" w:hAnsi="仿宋" w:eastAsia="仿宋" w:cs="仿宋"/>
                <w:sz w:val="21"/>
                <w:szCs w:val="21"/>
              </w:rPr>
            </w:pPr>
            <w:r>
              <w:rPr>
                <w:rFonts w:hint="eastAsia" w:ascii="仿宋" w:hAnsi="仿宋" w:eastAsia="仿宋" w:cs="仿宋"/>
                <w:sz w:val="24"/>
                <w:szCs w:val="24"/>
              </w:rPr>
              <w:t>科研创新与平台建设</w:t>
            </w:r>
          </w:p>
        </w:tc>
        <w:tc>
          <w:tcPr>
            <w:tcW w:w="1602" w:type="dxa"/>
            <w:vAlign w:val="center"/>
          </w:tcPr>
          <w:p w14:paraId="7027B3AB">
            <w:pPr>
              <w:jc w:val="center"/>
              <w:rPr>
                <w:rFonts w:hint="eastAsia" w:ascii="仿宋" w:hAnsi="仿宋" w:eastAsia="仿宋" w:cs="仿宋"/>
                <w:sz w:val="21"/>
                <w:szCs w:val="21"/>
              </w:rPr>
            </w:pPr>
            <w:r>
              <w:rPr>
                <w:rFonts w:hint="eastAsia" w:ascii="仿宋" w:hAnsi="仿宋" w:eastAsia="仿宋" w:cs="仿宋"/>
                <w:sz w:val="21"/>
                <w:szCs w:val="21"/>
                <w:lang w:val="en-US" w:eastAsia="zh-CN"/>
              </w:rPr>
              <w:t>2,000</w:t>
            </w:r>
          </w:p>
        </w:tc>
        <w:tc>
          <w:tcPr>
            <w:tcW w:w="2160" w:type="dxa"/>
            <w:vAlign w:val="center"/>
          </w:tcPr>
          <w:p w14:paraId="7B725215">
            <w:pPr>
              <w:jc w:val="center"/>
              <w:rPr>
                <w:rFonts w:hint="eastAsia" w:ascii="仿宋" w:hAnsi="仿宋" w:eastAsia="仿宋" w:cs="仿宋"/>
                <w:sz w:val="21"/>
                <w:szCs w:val="21"/>
              </w:rPr>
            </w:pPr>
            <w:r>
              <w:rPr>
                <w:rFonts w:hint="eastAsia" w:ascii="仿宋" w:hAnsi="仿宋" w:eastAsia="仿宋" w:cs="仿宋"/>
                <w:sz w:val="21"/>
                <w:szCs w:val="21"/>
              </w:rPr>
              <w:t>科技处、人文社科处等</w:t>
            </w:r>
          </w:p>
        </w:tc>
        <w:tc>
          <w:tcPr>
            <w:tcW w:w="1258" w:type="dxa"/>
            <w:vAlign w:val="center"/>
          </w:tcPr>
          <w:p w14:paraId="179CD05F">
            <w:pPr>
              <w:jc w:val="center"/>
              <w:rPr>
                <w:rFonts w:hint="eastAsia" w:ascii="仿宋" w:hAnsi="仿宋" w:eastAsia="仿宋" w:cs="仿宋"/>
                <w:sz w:val="21"/>
                <w:szCs w:val="21"/>
              </w:rPr>
            </w:pPr>
          </w:p>
        </w:tc>
      </w:tr>
      <w:tr w14:paraId="35D5A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9" w:type="dxa"/>
            <w:vAlign w:val="center"/>
          </w:tcPr>
          <w:p w14:paraId="0D718AB5">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w:t>
            </w:r>
          </w:p>
        </w:tc>
        <w:tc>
          <w:tcPr>
            <w:tcW w:w="2703" w:type="dxa"/>
            <w:shd w:val="clear" w:color="auto" w:fill="auto"/>
            <w:vAlign w:val="center"/>
          </w:tcPr>
          <w:p w14:paraId="7E2F2EF6">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公共服务体系建设</w:t>
            </w:r>
          </w:p>
        </w:tc>
        <w:tc>
          <w:tcPr>
            <w:tcW w:w="1602" w:type="dxa"/>
            <w:shd w:val="clear" w:color="auto" w:fill="auto"/>
            <w:vAlign w:val="center"/>
          </w:tcPr>
          <w:p w14:paraId="5241AC22">
            <w:pPr>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2,000</w:t>
            </w:r>
          </w:p>
        </w:tc>
        <w:tc>
          <w:tcPr>
            <w:tcW w:w="2160" w:type="dxa"/>
            <w:shd w:val="clear" w:color="auto" w:fill="auto"/>
            <w:vAlign w:val="center"/>
          </w:tcPr>
          <w:p w14:paraId="34E09670">
            <w:pPr>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基建与后勤管理处、国资处、网络中心、图书馆</w:t>
            </w:r>
            <w:r>
              <w:rPr>
                <w:rFonts w:hint="eastAsia" w:ascii="仿宋" w:hAnsi="仿宋" w:eastAsia="仿宋" w:cs="仿宋"/>
                <w:sz w:val="21"/>
                <w:szCs w:val="21"/>
                <w:lang w:val="en-US" w:eastAsia="zh-CN"/>
              </w:rPr>
              <w:t>等</w:t>
            </w:r>
          </w:p>
        </w:tc>
        <w:tc>
          <w:tcPr>
            <w:tcW w:w="1258" w:type="dxa"/>
            <w:vAlign w:val="center"/>
          </w:tcPr>
          <w:p w14:paraId="7E68447C">
            <w:pPr>
              <w:jc w:val="center"/>
              <w:rPr>
                <w:rFonts w:hint="eastAsia" w:ascii="仿宋" w:hAnsi="仿宋" w:eastAsia="仿宋" w:cs="仿宋"/>
                <w:sz w:val="21"/>
                <w:szCs w:val="21"/>
              </w:rPr>
            </w:pPr>
          </w:p>
        </w:tc>
      </w:tr>
      <w:tr w14:paraId="6341D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9" w:type="dxa"/>
            <w:vAlign w:val="center"/>
          </w:tcPr>
          <w:p w14:paraId="204236BD">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2703" w:type="dxa"/>
            <w:vAlign w:val="center"/>
          </w:tcPr>
          <w:p w14:paraId="434F3DA3">
            <w:pPr>
              <w:jc w:val="center"/>
              <w:rPr>
                <w:rFonts w:hint="eastAsia" w:ascii="仿宋" w:hAnsi="仿宋" w:eastAsia="仿宋" w:cs="仿宋"/>
                <w:sz w:val="24"/>
                <w:szCs w:val="24"/>
              </w:rPr>
            </w:pPr>
            <w:r>
              <w:rPr>
                <w:rFonts w:hint="eastAsia" w:ascii="仿宋" w:hAnsi="仿宋" w:eastAsia="仿宋" w:cs="仿宋"/>
                <w:sz w:val="24"/>
                <w:szCs w:val="24"/>
                <w:lang w:val="en-US" w:eastAsia="zh-CN"/>
              </w:rPr>
              <w:t>教学业务专项</w:t>
            </w:r>
          </w:p>
        </w:tc>
        <w:tc>
          <w:tcPr>
            <w:tcW w:w="1602" w:type="dxa"/>
            <w:vAlign w:val="center"/>
          </w:tcPr>
          <w:p w14:paraId="73CD52A0">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1,500</w:t>
            </w:r>
          </w:p>
        </w:tc>
        <w:tc>
          <w:tcPr>
            <w:tcW w:w="2160" w:type="dxa"/>
            <w:vAlign w:val="center"/>
          </w:tcPr>
          <w:p w14:paraId="4495EA06">
            <w:pPr>
              <w:jc w:val="center"/>
              <w:rPr>
                <w:rFonts w:hint="eastAsia" w:ascii="仿宋" w:hAnsi="仿宋" w:eastAsia="仿宋" w:cs="仿宋"/>
                <w:sz w:val="21"/>
                <w:szCs w:val="21"/>
                <w:lang w:val="en-US" w:eastAsia="zh-CN"/>
              </w:rPr>
            </w:pPr>
            <w:r>
              <w:rPr>
                <w:rFonts w:hint="eastAsia" w:ascii="仿宋" w:hAnsi="仿宋" w:eastAsia="仿宋" w:cs="仿宋"/>
                <w:sz w:val="21"/>
                <w:szCs w:val="21"/>
              </w:rPr>
              <w:t>教务处、研究生处</w:t>
            </w:r>
            <w:r>
              <w:rPr>
                <w:rFonts w:hint="eastAsia" w:ascii="仿宋" w:hAnsi="仿宋" w:eastAsia="仿宋" w:cs="仿宋"/>
                <w:sz w:val="21"/>
                <w:szCs w:val="21"/>
                <w:lang w:val="en-US" w:eastAsia="zh-CN"/>
              </w:rPr>
              <w:t>等</w:t>
            </w:r>
          </w:p>
        </w:tc>
        <w:tc>
          <w:tcPr>
            <w:tcW w:w="1258" w:type="dxa"/>
            <w:vAlign w:val="center"/>
          </w:tcPr>
          <w:p w14:paraId="60FD365F">
            <w:pPr>
              <w:jc w:val="center"/>
              <w:rPr>
                <w:rFonts w:hint="eastAsia" w:ascii="仿宋" w:hAnsi="仿宋" w:eastAsia="仿宋" w:cs="仿宋"/>
                <w:sz w:val="21"/>
                <w:szCs w:val="21"/>
              </w:rPr>
            </w:pPr>
          </w:p>
        </w:tc>
      </w:tr>
      <w:tr w14:paraId="7DF6E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9" w:type="dxa"/>
            <w:vAlign w:val="center"/>
          </w:tcPr>
          <w:p w14:paraId="2E6208E4">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2703" w:type="dxa"/>
            <w:vAlign w:val="center"/>
          </w:tcPr>
          <w:p w14:paraId="4184CE6B">
            <w:pPr>
              <w:jc w:val="center"/>
              <w:rPr>
                <w:rFonts w:hint="eastAsia" w:ascii="仿宋" w:hAnsi="仿宋" w:eastAsia="仿宋" w:cs="仿宋"/>
                <w:sz w:val="24"/>
                <w:szCs w:val="24"/>
              </w:rPr>
            </w:pPr>
            <w:r>
              <w:rPr>
                <w:rFonts w:hint="eastAsia" w:ascii="仿宋" w:hAnsi="仿宋" w:eastAsia="仿宋" w:cs="仿宋"/>
                <w:sz w:val="24"/>
                <w:szCs w:val="24"/>
              </w:rPr>
              <w:t>学科</w:t>
            </w:r>
            <w:r>
              <w:rPr>
                <w:rFonts w:hint="eastAsia" w:ascii="仿宋" w:hAnsi="仿宋" w:eastAsia="仿宋" w:cs="仿宋"/>
                <w:sz w:val="24"/>
                <w:szCs w:val="24"/>
                <w:lang w:val="en-US" w:eastAsia="zh-CN"/>
              </w:rPr>
              <w:t>及</w:t>
            </w:r>
            <w:r>
              <w:rPr>
                <w:rFonts w:hint="eastAsia" w:ascii="仿宋" w:hAnsi="仿宋" w:eastAsia="仿宋" w:cs="仿宋"/>
                <w:sz w:val="24"/>
                <w:szCs w:val="24"/>
              </w:rPr>
              <w:t>硕士学位点建设</w:t>
            </w:r>
          </w:p>
        </w:tc>
        <w:tc>
          <w:tcPr>
            <w:tcW w:w="1602" w:type="dxa"/>
            <w:vAlign w:val="center"/>
          </w:tcPr>
          <w:p w14:paraId="10AA8D5C">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1,500</w:t>
            </w:r>
          </w:p>
        </w:tc>
        <w:tc>
          <w:tcPr>
            <w:tcW w:w="2160" w:type="dxa"/>
            <w:vAlign w:val="center"/>
          </w:tcPr>
          <w:p w14:paraId="1B4940B3">
            <w:pPr>
              <w:jc w:val="center"/>
              <w:rPr>
                <w:rFonts w:hint="eastAsia" w:ascii="仿宋" w:hAnsi="仿宋" w:eastAsia="仿宋" w:cs="仿宋"/>
                <w:sz w:val="21"/>
                <w:szCs w:val="21"/>
              </w:rPr>
            </w:pPr>
            <w:r>
              <w:rPr>
                <w:rFonts w:hint="eastAsia" w:ascii="仿宋" w:hAnsi="仿宋" w:eastAsia="仿宋" w:cs="仿宋"/>
                <w:sz w:val="21"/>
                <w:szCs w:val="21"/>
              </w:rPr>
              <w:t>研究生处</w:t>
            </w:r>
          </w:p>
        </w:tc>
        <w:tc>
          <w:tcPr>
            <w:tcW w:w="1258" w:type="dxa"/>
            <w:vAlign w:val="center"/>
          </w:tcPr>
          <w:p w14:paraId="6645C1DD">
            <w:pPr>
              <w:jc w:val="center"/>
              <w:rPr>
                <w:rFonts w:hint="eastAsia" w:ascii="仿宋" w:hAnsi="仿宋" w:eastAsia="仿宋" w:cs="仿宋"/>
                <w:sz w:val="21"/>
                <w:szCs w:val="21"/>
              </w:rPr>
            </w:pPr>
          </w:p>
        </w:tc>
      </w:tr>
      <w:tr w14:paraId="4B8ED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9" w:type="dxa"/>
            <w:vAlign w:val="center"/>
          </w:tcPr>
          <w:p w14:paraId="2FA0BC3E">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6</w:t>
            </w:r>
          </w:p>
        </w:tc>
        <w:tc>
          <w:tcPr>
            <w:tcW w:w="2703" w:type="dxa"/>
            <w:vAlign w:val="center"/>
          </w:tcPr>
          <w:p w14:paraId="53571799">
            <w:pPr>
              <w:jc w:val="center"/>
              <w:rPr>
                <w:rFonts w:hint="eastAsia" w:ascii="仿宋" w:hAnsi="仿宋" w:eastAsia="仿宋" w:cs="仿宋"/>
                <w:sz w:val="24"/>
                <w:szCs w:val="24"/>
              </w:rPr>
            </w:pPr>
            <w:r>
              <w:rPr>
                <w:rFonts w:hint="eastAsia" w:ascii="仿宋" w:hAnsi="仿宋" w:eastAsia="仿宋" w:cs="仿宋"/>
                <w:sz w:val="24"/>
                <w:szCs w:val="24"/>
              </w:rPr>
              <w:t>学生创新发展专项</w:t>
            </w:r>
          </w:p>
        </w:tc>
        <w:tc>
          <w:tcPr>
            <w:tcW w:w="1602" w:type="dxa"/>
            <w:vAlign w:val="center"/>
          </w:tcPr>
          <w:p w14:paraId="125E64FB">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1,000</w:t>
            </w:r>
          </w:p>
        </w:tc>
        <w:tc>
          <w:tcPr>
            <w:tcW w:w="2160" w:type="dxa"/>
            <w:vAlign w:val="center"/>
          </w:tcPr>
          <w:p w14:paraId="7A220853">
            <w:pPr>
              <w:jc w:val="center"/>
              <w:rPr>
                <w:rFonts w:hint="eastAsia" w:ascii="仿宋" w:hAnsi="仿宋" w:eastAsia="仿宋" w:cs="仿宋"/>
                <w:sz w:val="21"/>
                <w:szCs w:val="21"/>
                <w:lang w:val="en-US" w:eastAsia="zh-CN"/>
              </w:rPr>
            </w:pPr>
            <w:r>
              <w:rPr>
                <w:rFonts w:hint="eastAsia" w:ascii="仿宋" w:hAnsi="仿宋" w:eastAsia="仿宋" w:cs="仿宋"/>
                <w:sz w:val="21"/>
                <w:szCs w:val="21"/>
              </w:rPr>
              <w:t>研究生处</w:t>
            </w:r>
            <w:r>
              <w:rPr>
                <w:rFonts w:hint="eastAsia" w:ascii="仿宋" w:hAnsi="仿宋" w:eastAsia="仿宋" w:cs="仿宋"/>
                <w:sz w:val="21"/>
                <w:szCs w:val="21"/>
                <w:lang w:eastAsia="zh-CN"/>
              </w:rPr>
              <w:t>、</w:t>
            </w:r>
            <w:r>
              <w:rPr>
                <w:rFonts w:hint="eastAsia" w:ascii="仿宋" w:hAnsi="仿宋" w:eastAsia="仿宋" w:cs="仿宋"/>
                <w:sz w:val="21"/>
                <w:szCs w:val="21"/>
              </w:rPr>
              <w:t>校团委等</w:t>
            </w:r>
          </w:p>
        </w:tc>
        <w:tc>
          <w:tcPr>
            <w:tcW w:w="1258" w:type="dxa"/>
            <w:vAlign w:val="center"/>
          </w:tcPr>
          <w:p w14:paraId="43C25AB9">
            <w:pPr>
              <w:jc w:val="center"/>
              <w:rPr>
                <w:rFonts w:hint="eastAsia" w:ascii="仿宋" w:hAnsi="仿宋" w:eastAsia="仿宋" w:cs="仿宋"/>
                <w:sz w:val="21"/>
                <w:szCs w:val="21"/>
              </w:rPr>
            </w:pPr>
          </w:p>
        </w:tc>
      </w:tr>
      <w:tr w14:paraId="4ACC1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9" w:type="dxa"/>
            <w:vAlign w:val="center"/>
          </w:tcPr>
          <w:p w14:paraId="1EF48FA0">
            <w:pPr>
              <w:jc w:val="center"/>
              <w:rPr>
                <w:rFonts w:hint="eastAsia" w:ascii="仿宋" w:hAnsi="仿宋" w:eastAsia="仿宋" w:cs="仿宋"/>
                <w:sz w:val="21"/>
                <w:szCs w:val="21"/>
              </w:rPr>
            </w:pPr>
          </w:p>
        </w:tc>
        <w:tc>
          <w:tcPr>
            <w:tcW w:w="2703" w:type="dxa"/>
            <w:vAlign w:val="center"/>
          </w:tcPr>
          <w:p w14:paraId="2694170D">
            <w:pPr>
              <w:jc w:val="center"/>
              <w:rPr>
                <w:rFonts w:hint="eastAsia" w:ascii="仿宋" w:hAnsi="仿宋" w:eastAsia="仿宋" w:cs="仿宋"/>
                <w:b/>
                <w:bCs/>
                <w:sz w:val="21"/>
                <w:szCs w:val="21"/>
              </w:rPr>
            </w:pPr>
            <w:r>
              <w:rPr>
                <w:rFonts w:hint="eastAsia" w:ascii="仿宋" w:hAnsi="仿宋" w:eastAsia="仿宋" w:cs="仿宋"/>
                <w:b/>
                <w:bCs/>
                <w:sz w:val="21"/>
                <w:szCs w:val="21"/>
              </w:rPr>
              <w:t>合计</w:t>
            </w:r>
          </w:p>
        </w:tc>
        <w:tc>
          <w:tcPr>
            <w:tcW w:w="1602" w:type="dxa"/>
            <w:vAlign w:val="center"/>
          </w:tcPr>
          <w:p w14:paraId="39B60CD3">
            <w:pPr>
              <w:jc w:val="center"/>
              <w:rPr>
                <w:rFonts w:hint="eastAsia" w:ascii="仿宋" w:hAnsi="仿宋" w:eastAsia="仿宋" w:cs="仿宋"/>
                <w:b/>
                <w:bCs/>
                <w:sz w:val="21"/>
                <w:szCs w:val="21"/>
              </w:rPr>
            </w:pPr>
            <w:r>
              <w:rPr>
                <w:rFonts w:hint="eastAsia" w:ascii="仿宋" w:hAnsi="仿宋" w:eastAsia="仿宋" w:cs="仿宋"/>
                <w:b/>
                <w:bCs/>
                <w:sz w:val="21"/>
                <w:szCs w:val="21"/>
                <w:lang w:val="en-US" w:eastAsia="zh-CN"/>
              </w:rPr>
              <w:t>10,000</w:t>
            </w:r>
          </w:p>
        </w:tc>
        <w:tc>
          <w:tcPr>
            <w:tcW w:w="2160" w:type="dxa"/>
            <w:vAlign w:val="center"/>
          </w:tcPr>
          <w:p w14:paraId="1E897449">
            <w:pPr>
              <w:jc w:val="center"/>
              <w:rPr>
                <w:rFonts w:hint="eastAsia" w:ascii="仿宋" w:hAnsi="仿宋" w:eastAsia="仿宋" w:cs="仿宋"/>
                <w:b/>
                <w:bCs/>
                <w:sz w:val="21"/>
                <w:szCs w:val="21"/>
              </w:rPr>
            </w:pPr>
          </w:p>
        </w:tc>
        <w:tc>
          <w:tcPr>
            <w:tcW w:w="1258" w:type="dxa"/>
            <w:vAlign w:val="center"/>
          </w:tcPr>
          <w:p w14:paraId="1B22B086">
            <w:pPr>
              <w:jc w:val="center"/>
              <w:rPr>
                <w:rFonts w:hint="eastAsia" w:ascii="仿宋" w:hAnsi="仿宋" w:eastAsia="仿宋" w:cs="仿宋"/>
                <w:sz w:val="21"/>
                <w:szCs w:val="21"/>
              </w:rPr>
            </w:pPr>
          </w:p>
        </w:tc>
      </w:tr>
    </w:tbl>
    <w:p w14:paraId="4324AA27">
      <w:pPr>
        <w:numPr>
          <w:ilvl w:val="0"/>
          <w:numId w:val="0"/>
        </w:numPr>
        <w:spacing w:line="520" w:lineRule="exact"/>
        <w:ind w:firstLine="643" w:firstLineChars="200"/>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lang w:eastAsia="zh-CN"/>
        </w:rPr>
        <w:t>（</w:t>
      </w:r>
      <w:r>
        <w:rPr>
          <w:rFonts w:hint="eastAsia" w:ascii="Times New Roman" w:hAnsi="Times New Roman" w:eastAsia="仿宋_GB2312" w:cs="Times New Roman"/>
          <w:b/>
          <w:bCs/>
          <w:sz w:val="32"/>
          <w:szCs w:val="32"/>
          <w:lang w:val="en-US" w:eastAsia="zh-CN"/>
        </w:rPr>
        <w:t>三</w:t>
      </w:r>
      <w:r>
        <w:rPr>
          <w:rFonts w:hint="eastAsia" w:ascii="Times New Roman" w:hAnsi="Times New Roman" w:eastAsia="仿宋_GB2312" w:cs="Times New Roman"/>
          <w:b/>
          <w:bCs/>
          <w:sz w:val="32"/>
          <w:szCs w:val="32"/>
          <w:lang w:eastAsia="zh-CN"/>
        </w:rPr>
        <w:t>）</w:t>
      </w:r>
      <w:r>
        <w:rPr>
          <w:rFonts w:ascii="Times New Roman" w:hAnsi="Times New Roman" w:eastAsia="仿宋_GB2312" w:cs="Times New Roman"/>
          <w:b/>
          <w:bCs/>
          <w:sz w:val="32"/>
          <w:szCs w:val="32"/>
        </w:rPr>
        <w:t>支持地方高校改革发展资金区域绩效目标表</w:t>
      </w:r>
    </w:p>
    <w:tbl>
      <w:tblPr>
        <w:tblStyle w:val="10"/>
        <w:tblW w:w="98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9"/>
        <w:gridCol w:w="949"/>
        <w:gridCol w:w="1169"/>
        <w:gridCol w:w="2778"/>
        <w:gridCol w:w="1649"/>
        <w:gridCol w:w="2709"/>
      </w:tblGrid>
      <w:tr w14:paraId="4E2A2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15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05A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转移支付名称</w:t>
            </w:r>
          </w:p>
        </w:tc>
        <w:tc>
          <w:tcPr>
            <w:tcW w:w="39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ADB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支持地方高校改革发展资金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F19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中央主管部门</w:t>
            </w:r>
          </w:p>
        </w:tc>
        <w:tc>
          <w:tcPr>
            <w:tcW w:w="2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B4C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教育部</w:t>
            </w:r>
          </w:p>
        </w:tc>
      </w:tr>
      <w:tr w14:paraId="60EAD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611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省级财政部门</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D959D">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CAF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省级教育部门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EA7DC">
            <w:pPr>
              <w:jc w:val="center"/>
              <w:rPr>
                <w:rFonts w:hint="eastAsia" w:ascii="宋体" w:hAnsi="宋体" w:eastAsia="宋体" w:cs="宋体"/>
                <w:i w:val="0"/>
                <w:iCs w:val="0"/>
                <w:color w:val="000000"/>
                <w:sz w:val="20"/>
                <w:szCs w:val="20"/>
                <w:u w:val="none"/>
              </w:rPr>
            </w:pPr>
          </w:p>
        </w:tc>
      </w:tr>
      <w:tr w14:paraId="628E8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1568"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CECF0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（亿元）</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F82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年度金额：</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0508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10,000.00 </w:t>
            </w:r>
          </w:p>
        </w:tc>
      </w:tr>
      <w:tr w14:paraId="7CA33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1568"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4E99C2C">
            <w:pPr>
              <w:jc w:val="center"/>
              <w:rPr>
                <w:rFonts w:hint="eastAsia" w:ascii="宋体" w:hAnsi="宋体" w:eastAsia="宋体" w:cs="宋体"/>
                <w:i w:val="0"/>
                <w:iCs w:val="0"/>
                <w:color w:val="000000"/>
                <w:sz w:val="20"/>
                <w:szCs w:val="20"/>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44B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其中：中央补助</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8472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10,000.00 </w:t>
            </w:r>
          </w:p>
        </w:tc>
      </w:tr>
      <w:tr w14:paraId="2D2DB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1568"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310D6ED">
            <w:pPr>
              <w:jc w:val="center"/>
              <w:rPr>
                <w:rFonts w:hint="eastAsia" w:ascii="宋体" w:hAnsi="宋体" w:eastAsia="宋体" w:cs="宋体"/>
                <w:i w:val="0"/>
                <w:iCs w:val="0"/>
                <w:color w:val="000000"/>
                <w:sz w:val="20"/>
                <w:szCs w:val="20"/>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8E2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地方资金</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428BD">
            <w:pPr>
              <w:rPr>
                <w:rFonts w:hint="eastAsia" w:ascii="宋体" w:hAnsi="宋体" w:eastAsia="宋体" w:cs="宋体"/>
                <w:i w:val="0"/>
                <w:iCs w:val="0"/>
                <w:color w:val="000000"/>
                <w:sz w:val="20"/>
                <w:szCs w:val="20"/>
                <w:u w:val="none"/>
              </w:rPr>
            </w:pPr>
          </w:p>
        </w:tc>
      </w:tr>
      <w:tr w14:paraId="03B81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A20A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A60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年度目标</w:t>
            </w:r>
          </w:p>
        </w:tc>
      </w:tr>
      <w:tr w14:paraId="2B3E5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427E4">
            <w:pPr>
              <w:jc w:val="center"/>
              <w:rPr>
                <w:rFonts w:hint="eastAsia" w:ascii="宋体" w:hAnsi="宋体" w:eastAsia="宋体" w:cs="宋体"/>
                <w:i w:val="0"/>
                <w:iCs w:val="0"/>
                <w:color w:val="000000"/>
                <w:sz w:val="20"/>
                <w:szCs w:val="20"/>
                <w:u w:val="none"/>
              </w:rPr>
            </w:pPr>
          </w:p>
        </w:tc>
        <w:tc>
          <w:tcPr>
            <w:tcW w:w="92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CFF64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目标1：公办本科高校生均拨款水平不低于12000元的水平；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目标2：学科科研实验条件明显改善，人才培养能力和科学研究水平明显提升。研究生培养规模得到进一步扩大。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目标3：支持的学科数量不少于7个（包括省"双一流"重点学科）；支持的教学实验室数量超过100间；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目标4：支持的科研基地和实训中心数量超过10个；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目标5：支持创新团队数量不少于100个。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目标6：完成支持地方高校改革发展资金确定的项目。</w:t>
            </w:r>
          </w:p>
        </w:tc>
      </w:tr>
      <w:tr w14:paraId="4C106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F539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245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C43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4427" w:type="dxa"/>
            <w:gridSpan w:val="2"/>
            <w:tcBorders>
              <w:top w:val="single" w:color="000000" w:sz="4" w:space="0"/>
              <w:left w:val="single" w:color="000000" w:sz="4" w:space="0"/>
              <w:bottom w:val="single" w:color="000000" w:sz="4" w:space="0"/>
              <w:right w:val="nil"/>
            </w:tcBorders>
            <w:shd w:val="clear" w:color="auto" w:fill="auto"/>
            <w:vAlign w:val="center"/>
          </w:tcPr>
          <w:p w14:paraId="0EC678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2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3AC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r>
      <w:tr w14:paraId="069CD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EC3DC">
            <w:pPr>
              <w:jc w:val="center"/>
              <w:rPr>
                <w:rFonts w:hint="eastAsia" w:ascii="宋体" w:hAnsi="宋体" w:eastAsia="宋体" w:cs="宋体"/>
                <w:i w:val="0"/>
                <w:iCs w:val="0"/>
                <w:color w:val="000000"/>
                <w:sz w:val="20"/>
                <w:szCs w:val="20"/>
                <w:u w:val="none"/>
              </w:rPr>
            </w:pPr>
          </w:p>
        </w:tc>
        <w:tc>
          <w:tcPr>
            <w:tcW w:w="949" w:type="dxa"/>
            <w:vMerge w:val="restart"/>
            <w:tcBorders>
              <w:top w:val="single" w:color="000000" w:sz="4" w:space="0"/>
              <w:left w:val="single" w:color="000000" w:sz="4" w:space="0"/>
              <w:bottom w:val="nil"/>
              <w:right w:val="single" w:color="000000" w:sz="4" w:space="0"/>
            </w:tcBorders>
            <w:shd w:val="clear" w:color="auto" w:fill="auto"/>
            <w:vAlign w:val="center"/>
          </w:tcPr>
          <w:p w14:paraId="0302D5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169" w:type="dxa"/>
            <w:vMerge w:val="restart"/>
            <w:tcBorders>
              <w:top w:val="single" w:color="000000" w:sz="4" w:space="0"/>
              <w:left w:val="single" w:color="000000" w:sz="4" w:space="0"/>
              <w:bottom w:val="nil"/>
              <w:right w:val="single" w:color="000000" w:sz="4" w:space="0"/>
            </w:tcBorders>
            <w:shd w:val="clear" w:color="auto" w:fill="auto"/>
            <w:vAlign w:val="center"/>
          </w:tcPr>
          <w:p w14:paraId="0E8874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4427" w:type="dxa"/>
            <w:gridSpan w:val="2"/>
            <w:tcBorders>
              <w:top w:val="single" w:color="000000" w:sz="4" w:space="0"/>
              <w:left w:val="single" w:color="000000" w:sz="4" w:space="0"/>
              <w:bottom w:val="single" w:color="000000" w:sz="4" w:space="0"/>
              <w:right w:val="nil"/>
            </w:tcBorders>
            <w:shd w:val="clear" w:color="auto" w:fill="auto"/>
            <w:vAlign w:val="center"/>
          </w:tcPr>
          <w:p w14:paraId="0E485F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生均拨款水平（元）</w:t>
            </w:r>
          </w:p>
        </w:tc>
        <w:tc>
          <w:tcPr>
            <w:tcW w:w="2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AAB8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≥12000</w:t>
            </w:r>
          </w:p>
        </w:tc>
      </w:tr>
      <w:tr w14:paraId="3E844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703B3">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nil"/>
              <w:right w:val="single" w:color="000000" w:sz="4" w:space="0"/>
            </w:tcBorders>
            <w:shd w:val="clear" w:color="auto" w:fill="auto"/>
            <w:vAlign w:val="center"/>
          </w:tcPr>
          <w:p w14:paraId="4ADA7FEC">
            <w:pPr>
              <w:jc w:val="center"/>
              <w:rPr>
                <w:rFonts w:hint="eastAsia" w:ascii="宋体" w:hAnsi="宋体" w:eastAsia="宋体" w:cs="宋体"/>
                <w:i w:val="0"/>
                <w:iCs w:val="0"/>
                <w:color w:val="000000"/>
                <w:sz w:val="20"/>
                <w:szCs w:val="20"/>
                <w:u w:val="none"/>
              </w:rPr>
            </w:pPr>
          </w:p>
        </w:tc>
        <w:tc>
          <w:tcPr>
            <w:tcW w:w="1169" w:type="dxa"/>
            <w:vMerge w:val="continue"/>
            <w:tcBorders>
              <w:top w:val="single" w:color="000000" w:sz="4" w:space="0"/>
              <w:left w:val="single" w:color="000000" w:sz="4" w:space="0"/>
              <w:bottom w:val="nil"/>
              <w:right w:val="single" w:color="000000" w:sz="4" w:space="0"/>
            </w:tcBorders>
            <w:shd w:val="clear" w:color="auto" w:fill="auto"/>
            <w:vAlign w:val="center"/>
          </w:tcPr>
          <w:p w14:paraId="0E5779B3">
            <w:pPr>
              <w:jc w:val="center"/>
              <w:rPr>
                <w:rFonts w:hint="eastAsia" w:ascii="宋体" w:hAnsi="宋体" w:eastAsia="宋体" w:cs="宋体"/>
                <w:i w:val="0"/>
                <w:iCs w:val="0"/>
                <w:color w:val="000000"/>
                <w:sz w:val="20"/>
                <w:szCs w:val="20"/>
                <w:u w:val="none"/>
              </w:rPr>
            </w:pPr>
          </w:p>
        </w:tc>
        <w:tc>
          <w:tcPr>
            <w:tcW w:w="4427" w:type="dxa"/>
            <w:gridSpan w:val="2"/>
            <w:tcBorders>
              <w:top w:val="single" w:color="000000" w:sz="4" w:space="0"/>
              <w:left w:val="single" w:color="000000" w:sz="4" w:space="0"/>
              <w:bottom w:val="single" w:color="000000" w:sz="4" w:space="0"/>
              <w:right w:val="nil"/>
            </w:tcBorders>
            <w:shd w:val="clear" w:color="auto" w:fill="auto"/>
            <w:vAlign w:val="center"/>
          </w:tcPr>
          <w:p w14:paraId="676196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支持的学科数量（个）</w:t>
            </w:r>
          </w:p>
        </w:tc>
        <w:tc>
          <w:tcPr>
            <w:tcW w:w="2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B966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r>
      <w:tr w14:paraId="22A16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15AD2">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nil"/>
              <w:right w:val="single" w:color="000000" w:sz="4" w:space="0"/>
            </w:tcBorders>
            <w:shd w:val="clear" w:color="auto" w:fill="auto"/>
            <w:vAlign w:val="center"/>
          </w:tcPr>
          <w:p w14:paraId="423E85DC">
            <w:pPr>
              <w:jc w:val="center"/>
              <w:rPr>
                <w:rFonts w:hint="eastAsia" w:ascii="宋体" w:hAnsi="宋体" w:eastAsia="宋体" w:cs="宋体"/>
                <w:i w:val="0"/>
                <w:iCs w:val="0"/>
                <w:color w:val="000000"/>
                <w:sz w:val="20"/>
                <w:szCs w:val="20"/>
                <w:u w:val="none"/>
              </w:rPr>
            </w:pPr>
          </w:p>
        </w:tc>
        <w:tc>
          <w:tcPr>
            <w:tcW w:w="1169" w:type="dxa"/>
            <w:vMerge w:val="continue"/>
            <w:tcBorders>
              <w:top w:val="single" w:color="000000" w:sz="4" w:space="0"/>
              <w:left w:val="single" w:color="000000" w:sz="4" w:space="0"/>
              <w:bottom w:val="nil"/>
              <w:right w:val="single" w:color="000000" w:sz="4" w:space="0"/>
            </w:tcBorders>
            <w:shd w:val="clear" w:color="auto" w:fill="auto"/>
            <w:vAlign w:val="center"/>
          </w:tcPr>
          <w:p w14:paraId="2441E736">
            <w:pPr>
              <w:jc w:val="center"/>
              <w:rPr>
                <w:rFonts w:hint="eastAsia" w:ascii="宋体" w:hAnsi="宋体" w:eastAsia="宋体" w:cs="宋体"/>
                <w:i w:val="0"/>
                <w:iCs w:val="0"/>
                <w:color w:val="000000"/>
                <w:sz w:val="20"/>
                <w:szCs w:val="20"/>
                <w:u w:val="none"/>
              </w:rPr>
            </w:pPr>
          </w:p>
        </w:tc>
        <w:tc>
          <w:tcPr>
            <w:tcW w:w="4427" w:type="dxa"/>
            <w:gridSpan w:val="2"/>
            <w:tcBorders>
              <w:top w:val="single" w:color="000000" w:sz="4" w:space="0"/>
              <w:left w:val="single" w:color="000000" w:sz="4" w:space="0"/>
              <w:bottom w:val="single" w:color="000000" w:sz="4" w:space="0"/>
              <w:right w:val="nil"/>
            </w:tcBorders>
            <w:shd w:val="clear" w:color="auto" w:fill="auto"/>
            <w:vAlign w:val="center"/>
          </w:tcPr>
          <w:p w14:paraId="59A063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支持的教学实验室数量（间）</w:t>
            </w:r>
          </w:p>
        </w:tc>
        <w:tc>
          <w:tcPr>
            <w:tcW w:w="2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4983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485F7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7A2383">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nil"/>
              <w:right w:val="single" w:color="000000" w:sz="4" w:space="0"/>
            </w:tcBorders>
            <w:shd w:val="clear" w:color="auto" w:fill="auto"/>
            <w:vAlign w:val="center"/>
          </w:tcPr>
          <w:p w14:paraId="2BDC9C36">
            <w:pPr>
              <w:jc w:val="center"/>
              <w:rPr>
                <w:rFonts w:hint="eastAsia" w:ascii="宋体" w:hAnsi="宋体" w:eastAsia="宋体" w:cs="宋体"/>
                <w:i w:val="0"/>
                <w:iCs w:val="0"/>
                <w:color w:val="000000"/>
                <w:sz w:val="20"/>
                <w:szCs w:val="20"/>
                <w:u w:val="none"/>
              </w:rPr>
            </w:pPr>
          </w:p>
        </w:tc>
        <w:tc>
          <w:tcPr>
            <w:tcW w:w="1169" w:type="dxa"/>
            <w:vMerge w:val="continue"/>
            <w:tcBorders>
              <w:top w:val="single" w:color="000000" w:sz="4" w:space="0"/>
              <w:left w:val="single" w:color="000000" w:sz="4" w:space="0"/>
              <w:bottom w:val="nil"/>
              <w:right w:val="single" w:color="000000" w:sz="4" w:space="0"/>
            </w:tcBorders>
            <w:shd w:val="clear" w:color="auto" w:fill="auto"/>
            <w:vAlign w:val="center"/>
          </w:tcPr>
          <w:p w14:paraId="6E5CB5A0">
            <w:pPr>
              <w:jc w:val="center"/>
              <w:rPr>
                <w:rFonts w:hint="eastAsia" w:ascii="宋体" w:hAnsi="宋体" w:eastAsia="宋体" w:cs="宋体"/>
                <w:i w:val="0"/>
                <w:iCs w:val="0"/>
                <w:color w:val="000000"/>
                <w:sz w:val="20"/>
                <w:szCs w:val="20"/>
                <w:u w:val="none"/>
              </w:rPr>
            </w:pPr>
          </w:p>
        </w:tc>
        <w:tc>
          <w:tcPr>
            <w:tcW w:w="4427" w:type="dxa"/>
            <w:gridSpan w:val="2"/>
            <w:tcBorders>
              <w:top w:val="single" w:color="000000" w:sz="4" w:space="0"/>
              <w:left w:val="single" w:color="000000" w:sz="4" w:space="0"/>
              <w:bottom w:val="single" w:color="000000" w:sz="4" w:space="0"/>
              <w:right w:val="nil"/>
            </w:tcBorders>
            <w:shd w:val="clear" w:color="auto" w:fill="auto"/>
            <w:vAlign w:val="center"/>
          </w:tcPr>
          <w:p w14:paraId="4B7E13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支持的科研基地和实训中心数量（个）</w:t>
            </w:r>
          </w:p>
        </w:tc>
        <w:tc>
          <w:tcPr>
            <w:tcW w:w="2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A30C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14:paraId="15836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5F7DC">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nil"/>
              <w:right w:val="single" w:color="000000" w:sz="4" w:space="0"/>
            </w:tcBorders>
            <w:shd w:val="clear" w:color="auto" w:fill="auto"/>
            <w:vAlign w:val="center"/>
          </w:tcPr>
          <w:p w14:paraId="7291C837">
            <w:pPr>
              <w:jc w:val="center"/>
              <w:rPr>
                <w:rFonts w:hint="eastAsia" w:ascii="宋体" w:hAnsi="宋体" w:eastAsia="宋体" w:cs="宋体"/>
                <w:i w:val="0"/>
                <w:iCs w:val="0"/>
                <w:color w:val="000000"/>
                <w:sz w:val="20"/>
                <w:szCs w:val="20"/>
                <w:u w:val="none"/>
              </w:rPr>
            </w:pPr>
          </w:p>
        </w:tc>
        <w:tc>
          <w:tcPr>
            <w:tcW w:w="1169" w:type="dxa"/>
            <w:vMerge w:val="continue"/>
            <w:tcBorders>
              <w:top w:val="single" w:color="000000" w:sz="4" w:space="0"/>
              <w:left w:val="single" w:color="000000" w:sz="4" w:space="0"/>
              <w:bottom w:val="nil"/>
              <w:right w:val="single" w:color="000000" w:sz="4" w:space="0"/>
            </w:tcBorders>
            <w:shd w:val="clear" w:color="auto" w:fill="auto"/>
            <w:vAlign w:val="center"/>
          </w:tcPr>
          <w:p w14:paraId="515E7352">
            <w:pPr>
              <w:jc w:val="center"/>
              <w:rPr>
                <w:rFonts w:hint="eastAsia" w:ascii="宋体" w:hAnsi="宋体" w:eastAsia="宋体" w:cs="宋体"/>
                <w:i w:val="0"/>
                <w:iCs w:val="0"/>
                <w:color w:val="000000"/>
                <w:sz w:val="20"/>
                <w:szCs w:val="20"/>
                <w:u w:val="none"/>
              </w:rPr>
            </w:pPr>
          </w:p>
        </w:tc>
        <w:tc>
          <w:tcPr>
            <w:tcW w:w="4427" w:type="dxa"/>
            <w:gridSpan w:val="2"/>
            <w:tcBorders>
              <w:top w:val="single" w:color="000000" w:sz="4" w:space="0"/>
              <w:left w:val="single" w:color="000000" w:sz="4" w:space="0"/>
              <w:bottom w:val="single" w:color="000000" w:sz="4" w:space="0"/>
              <w:right w:val="nil"/>
            </w:tcBorders>
            <w:shd w:val="clear" w:color="auto" w:fill="auto"/>
            <w:vAlign w:val="center"/>
          </w:tcPr>
          <w:p w14:paraId="7CFE58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支持的创新团队数量（个）</w:t>
            </w:r>
          </w:p>
        </w:tc>
        <w:tc>
          <w:tcPr>
            <w:tcW w:w="2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3127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078BB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E94E6">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nil"/>
              <w:right w:val="single" w:color="000000" w:sz="4" w:space="0"/>
            </w:tcBorders>
            <w:shd w:val="clear" w:color="auto" w:fill="auto"/>
            <w:vAlign w:val="center"/>
          </w:tcPr>
          <w:p w14:paraId="0C4782A1">
            <w:pPr>
              <w:jc w:val="center"/>
              <w:rPr>
                <w:rFonts w:hint="eastAsia" w:ascii="宋体" w:hAnsi="宋体" w:eastAsia="宋体" w:cs="宋体"/>
                <w:i w:val="0"/>
                <w:iCs w:val="0"/>
                <w:color w:val="000000"/>
                <w:sz w:val="20"/>
                <w:szCs w:val="20"/>
                <w:u w:val="none"/>
              </w:rPr>
            </w:pPr>
          </w:p>
        </w:tc>
        <w:tc>
          <w:tcPr>
            <w:tcW w:w="1169" w:type="dxa"/>
            <w:vMerge w:val="continue"/>
            <w:tcBorders>
              <w:top w:val="single" w:color="000000" w:sz="4" w:space="0"/>
              <w:left w:val="single" w:color="000000" w:sz="4" w:space="0"/>
              <w:bottom w:val="nil"/>
              <w:right w:val="single" w:color="000000" w:sz="4" w:space="0"/>
            </w:tcBorders>
            <w:shd w:val="clear" w:color="auto" w:fill="auto"/>
            <w:vAlign w:val="center"/>
          </w:tcPr>
          <w:p w14:paraId="56C5B8E9">
            <w:pPr>
              <w:jc w:val="center"/>
              <w:rPr>
                <w:rFonts w:hint="eastAsia" w:ascii="宋体" w:hAnsi="宋体" w:eastAsia="宋体" w:cs="宋体"/>
                <w:i w:val="0"/>
                <w:iCs w:val="0"/>
                <w:color w:val="000000"/>
                <w:sz w:val="20"/>
                <w:szCs w:val="20"/>
                <w:u w:val="none"/>
              </w:rPr>
            </w:pPr>
          </w:p>
        </w:tc>
        <w:tc>
          <w:tcPr>
            <w:tcW w:w="4427" w:type="dxa"/>
            <w:gridSpan w:val="2"/>
            <w:tcBorders>
              <w:top w:val="single" w:color="000000" w:sz="4" w:space="0"/>
              <w:left w:val="single" w:color="000000" w:sz="4" w:space="0"/>
              <w:bottom w:val="single" w:color="000000" w:sz="4" w:space="0"/>
              <w:right w:val="nil"/>
            </w:tcBorders>
            <w:shd w:val="clear" w:color="auto" w:fill="auto"/>
            <w:vAlign w:val="center"/>
          </w:tcPr>
          <w:p w14:paraId="3FC77E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支持的实践教学基地（个）</w:t>
            </w:r>
          </w:p>
        </w:tc>
        <w:tc>
          <w:tcPr>
            <w:tcW w:w="2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9CF6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≥350</w:t>
            </w:r>
          </w:p>
        </w:tc>
      </w:tr>
      <w:tr w14:paraId="73C58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0AF57">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nil"/>
              <w:right w:val="single" w:color="000000" w:sz="4" w:space="0"/>
            </w:tcBorders>
            <w:shd w:val="clear" w:color="auto" w:fill="auto"/>
            <w:vAlign w:val="center"/>
          </w:tcPr>
          <w:p w14:paraId="59E90A4D">
            <w:pPr>
              <w:jc w:val="center"/>
              <w:rPr>
                <w:rFonts w:hint="eastAsia" w:ascii="宋体" w:hAnsi="宋体" w:eastAsia="宋体" w:cs="宋体"/>
                <w:i w:val="0"/>
                <w:iCs w:val="0"/>
                <w:color w:val="000000"/>
                <w:sz w:val="20"/>
                <w:szCs w:val="20"/>
                <w:u w:val="none"/>
              </w:rPr>
            </w:pPr>
          </w:p>
        </w:tc>
        <w:tc>
          <w:tcPr>
            <w:tcW w:w="1169" w:type="dxa"/>
            <w:vMerge w:val="continue"/>
            <w:tcBorders>
              <w:top w:val="single" w:color="000000" w:sz="4" w:space="0"/>
              <w:left w:val="single" w:color="000000" w:sz="4" w:space="0"/>
              <w:bottom w:val="nil"/>
              <w:right w:val="single" w:color="000000" w:sz="4" w:space="0"/>
            </w:tcBorders>
            <w:shd w:val="clear" w:color="auto" w:fill="auto"/>
            <w:vAlign w:val="center"/>
          </w:tcPr>
          <w:p w14:paraId="6E694908">
            <w:pPr>
              <w:jc w:val="center"/>
              <w:rPr>
                <w:rFonts w:hint="eastAsia" w:ascii="宋体" w:hAnsi="宋体" w:eastAsia="宋体" w:cs="宋体"/>
                <w:i w:val="0"/>
                <w:iCs w:val="0"/>
                <w:color w:val="000000"/>
                <w:sz w:val="20"/>
                <w:szCs w:val="20"/>
                <w:u w:val="none"/>
              </w:rPr>
            </w:pPr>
          </w:p>
        </w:tc>
        <w:tc>
          <w:tcPr>
            <w:tcW w:w="4427" w:type="dxa"/>
            <w:gridSpan w:val="2"/>
            <w:tcBorders>
              <w:top w:val="single" w:color="000000" w:sz="4" w:space="0"/>
              <w:left w:val="single" w:color="000000" w:sz="4" w:space="0"/>
              <w:bottom w:val="single" w:color="000000" w:sz="4" w:space="0"/>
              <w:right w:val="nil"/>
            </w:tcBorders>
            <w:shd w:val="clear" w:color="auto" w:fill="auto"/>
            <w:vAlign w:val="center"/>
          </w:tcPr>
          <w:p w14:paraId="4DC67C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支持的学位点数量（个）</w:t>
            </w:r>
          </w:p>
        </w:tc>
        <w:tc>
          <w:tcPr>
            <w:tcW w:w="2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967E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r>
      <w:tr w14:paraId="3D515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2A989">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nil"/>
              <w:right w:val="single" w:color="000000" w:sz="4" w:space="0"/>
            </w:tcBorders>
            <w:shd w:val="clear" w:color="auto" w:fill="auto"/>
            <w:vAlign w:val="center"/>
          </w:tcPr>
          <w:p w14:paraId="6E87E7CE">
            <w:pPr>
              <w:jc w:val="center"/>
              <w:rPr>
                <w:rFonts w:hint="eastAsia" w:ascii="宋体" w:hAnsi="宋体" w:eastAsia="宋体" w:cs="宋体"/>
                <w:i w:val="0"/>
                <w:iCs w:val="0"/>
                <w:color w:val="000000"/>
                <w:sz w:val="20"/>
                <w:szCs w:val="20"/>
                <w:u w:val="none"/>
              </w:rPr>
            </w:pPr>
          </w:p>
        </w:tc>
        <w:tc>
          <w:tcPr>
            <w:tcW w:w="1169" w:type="dxa"/>
            <w:vMerge w:val="continue"/>
            <w:tcBorders>
              <w:top w:val="single" w:color="000000" w:sz="4" w:space="0"/>
              <w:left w:val="single" w:color="000000" w:sz="4" w:space="0"/>
              <w:bottom w:val="nil"/>
              <w:right w:val="single" w:color="000000" w:sz="4" w:space="0"/>
            </w:tcBorders>
            <w:shd w:val="clear" w:color="auto" w:fill="auto"/>
            <w:vAlign w:val="center"/>
          </w:tcPr>
          <w:p w14:paraId="3FAE5C14">
            <w:pPr>
              <w:jc w:val="center"/>
              <w:rPr>
                <w:rFonts w:hint="eastAsia" w:ascii="宋体" w:hAnsi="宋体" w:eastAsia="宋体" w:cs="宋体"/>
                <w:i w:val="0"/>
                <w:iCs w:val="0"/>
                <w:color w:val="000000"/>
                <w:sz w:val="20"/>
                <w:szCs w:val="20"/>
                <w:u w:val="none"/>
              </w:rPr>
            </w:pPr>
          </w:p>
        </w:tc>
        <w:tc>
          <w:tcPr>
            <w:tcW w:w="44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67F8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保障的全校信息点位（点）</w:t>
            </w:r>
          </w:p>
        </w:tc>
        <w:tc>
          <w:tcPr>
            <w:tcW w:w="2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A4D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w:t>
            </w:r>
          </w:p>
        </w:tc>
      </w:tr>
      <w:tr w14:paraId="02568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6B878">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nil"/>
              <w:right w:val="single" w:color="000000" w:sz="4" w:space="0"/>
            </w:tcBorders>
            <w:shd w:val="clear" w:color="auto" w:fill="auto"/>
            <w:vAlign w:val="center"/>
          </w:tcPr>
          <w:p w14:paraId="7325F89F">
            <w:pPr>
              <w:jc w:val="center"/>
              <w:rPr>
                <w:rFonts w:hint="eastAsia" w:ascii="宋体" w:hAnsi="宋体" w:eastAsia="宋体" w:cs="宋体"/>
                <w:i w:val="0"/>
                <w:iCs w:val="0"/>
                <w:color w:val="000000"/>
                <w:sz w:val="20"/>
                <w:szCs w:val="20"/>
                <w:u w:val="none"/>
              </w:rPr>
            </w:pPr>
          </w:p>
        </w:tc>
        <w:tc>
          <w:tcPr>
            <w:tcW w:w="11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AF70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4427" w:type="dxa"/>
            <w:gridSpan w:val="2"/>
            <w:tcBorders>
              <w:top w:val="single" w:color="000000" w:sz="4" w:space="0"/>
              <w:left w:val="single" w:color="000000" w:sz="4" w:space="0"/>
              <w:bottom w:val="single" w:color="000000" w:sz="4" w:space="0"/>
              <w:right w:val="nil"/>
            </w:tcBorders>
            <w:shd w:val="clear" w:color="auto" w:fill="auto"/>
            <w:vAlign w:val="center"/>
          </w:tcPr>
          <w:p w14:paraId="405444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地方高校预算拨款制度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8F5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逐步完善</w:t>
            </w:r>
          </w:p>
        </w:tc>
      </w:tr>
      <w:tr w14:paraId="60B94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9DF751">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nil"/>
              <w:right w:val="single" w:color="000000" w:sz="4" w:space="0"/>
            </w:tcBorders>
            <w:shd w:val="clear" w:color="auto" w:fill="auto"/>
            <w:vAlign w:val="center"/>
          </w:tcPr>
          <w:p w14:paraId="2D8231BE">
            <w:pPr>
              <w:jc w:val="center"/>
              <w:rPr>
                <w:rFonts w:hint="eastAsia" w:ascii="宋体" w:hAnsi="宋体" w:eastAsia="宋体" w:cs="宋体"/>
                <w:i w:val="0"/>
                <w:iCs w:val="0"/>
                <w:color w:val="000000"/>
                <w:sz w:val="20"/>
                <w:szCs w:val="20"/>
                <w:u w:val="none"/>
              </w:rPr>
            </w:pPr>
          </w:p>
        </w:tc>
        <w:tc>
          <w:tcPr>
            <w:tcW w:w="11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B7BE1">
            <w:pPr>
              <w:jc w:val="center"/>
              <w:rPr>
                <w:rFonts w:hint="eastAsia" w:ascii="宋体" w:hAnsi="宋体" w:eastAsia="宋体" w:cs="宋体"/>
                <w:i w:val="0"/>
                <w:iCs w:val="0"/>
                <w:color w:val="000000"/>
                <w:sz w:val="20"/>
                <w:szCs w:val="20"/>
                <w:u w:val="none"/>
              </w:rPr>
            </w:pPr>
          </w:p>
        </w:tc>
        <w:tc>
          <w:tcPr>
            <w:tcW w:w="4427" w:type="dxa"/>
            <w:gridSpan w:val="2"/>
            <w:tcBorders>
              <w:top w:val="single" w:color="000000" w:sz="4" w:space="0"/>
              <w:left w:val="single" w:color="000000" w:sz="4" w:space="0"/>
              <w:bottom w:val="single" w:color="000000" w:sz="4" w:space="0"/>
              <w:right w:val="nil"/>
            </w:tcBorders>
            <w:shd w:val="clear" w:color="auto" w:fill="auto"/>
            <w:vAlign w:val="center"/>
          </w:tcPr>
          <w:p w14:paraId="4B8DC2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地方高校基本办学条件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A90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逐步完善</w:t>
            </w:r>
          </w:p>
        </w:tc>
      </w:tr>
      <w:tr w14:paraId="47449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D235F4">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nil"/>
              <w:right w:val="single" w:color="000000" w:sz="4" w:space="0"/>
            </w:tcBorders>
            <w:shd w:val="clear" w:color="auto" w:fill="auto"/>
            <w:vAlign w:val="center"/>
          </w:tcPr>
          <w:p w14:paraId="74063EA0">
            <w:pPr>
              <w:jc w:val="center"/>
              <w:rPr>
                <w:rFonts w:hint="eastAsia" w:ascii="宋体" w:hAnsi="宋体" w:eastAsia="宋体" w:cs="宋体"/>
                <w:i w:val="0"/>
                <w:iCs w:val="0"/>
                <w:color w:val="000000"/>
                <w:sz w:val="20"/>
                <w:szCs w:val="20"/>
                <w:u w:val="none"/>
              </w:rPr>
            </w:pPr>
          </w:p>
        </w:tc>
        <w:tc>
          <w:tcPr>
            <w:tcW w:w="11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95CD02">
            <w:pPr>
              <w:jc w:val="center"/>
              <w:rPr>
                <w:rFonts w:hint="eastAsia" w:ascii="宋体" w:hAnsi="宋体" w:eastAsia="宋体" w:cs="宋体"/>
                <w:i w:val="0"/>
                <w:iCs w:val="0"/>
                <w:color w:val="000000"/>
                <w:sz w:val="20"/>
                <w:szCs w:val="20"/>
                <w:u w:val="none"/>
              </w:rPr>
            </w:pPr>
          </w:p>
        </w:tc>
        <w:tc>
          <w:tcPr>
            <w:tcW w:w="4427" w:type="dxa"/>
            <w:gridSpan w:val="2"/>
            <w:tcBorders>
              <w:top w:val="single" w:color="000000" w:sz="4" w:space="0"/>
              <w:left w:val="single" w:color="000000" w:sz="4" w:space="0"/>
              <w:bottom w:val="single" w:color="000000" w:sz="4" w:space="0"/>
              <w:right w:val="nil"/>
            </w:tcBorders>
            <w:shd w:val="clear" w:color="auto" w:fill="auto"/>
            <w:vAlign w:val="center"/>
          </w:tcPr>
          <w:p w14:paraId="711F95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一级学科评估排名全国10%以内个数（A类学科）</w:t>
            </w:r>
          </w:p>
        </w:tc>
        <w:tc>
          <w:tcPr>
            <w:tcW w:w="2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07C4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14:paraId="1BEB1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3013A">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nil"/>
              <w:right w:val="single" w:color="000000" w:sz="4" w:space="0"/>
            </w:tcBorders>
            <w:shd w:val="clear" w:color="auto" w:fill="auto"/>
            <w:vAlign w:val="center"/>
          </w:tcPr>
          <w:p w14:paraId="7AFF9B3F">
            <w:pPr>
              <w:jc w:val="center"/>
              <w:rPr>
                <w:rFonts w:hint="eastAsia" w:ascii="宋体" w:hAnsi="宋体" w:eastAsia="宋体" w:cs="宋体"/>
                <w:i w:val="0"/>
                <w:iCs w:val="0"/>
                <w:color w:val="000000"/>
                <w:sz w:val="20"/>
                <w:szCs w:val="20"/>
                <w:u w:val="none"/>
              </w:rPr>
            </w:pPr>
          </w:p>
        </w:tc>
        <w:tc>
          <w:tcPr>
            <w:tcW w:w="11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98CC8">
            <w:pPr>
              <w:jc w:val="center"/>
              <w:rPr>
                <w:rFonts w:hint="eastAsia" w:ascii="宋体" w:hAnsi="宋体" w:eastAsia="宋体" w:cs="宋体"/>
                <w:i w:val="0"/>
                <w:iCs w:val="0"/>
                <w:color w:val="000000"/>
                <w:sz w:val="20"/>
                <w:szCs w:val="20"/>
                <w:u w:val="none"/>
              </w:rPr>
            </w:pPr>
          </w:p>
        </w:tc>
        <w:tc>
          <w:tcPr>
            <w:tcW w:w="4427" w:type="dxa"/>
            <w:gridSpan w:val="2"/>
            <w:tcBorders>
              <w:top w:val="single" w:color="000000" w:sz="4" w:space="0"/>
              <w:left w:val="single" w:color="000000" w:sz="4" w:space="0"/>
              <w:bottom w:val="single" w:color="000000" w:sz="4" w:space="0"/>
              <w:right w:val="nil"/>
            </w:tcBorders>
            <w:shd w:val="clear" w:color="auto" w:fill="auto"/>
            <w:vAlign w:val="center"/>
          </w:tcPr>
          <w:p w14:paraId="6E5EF7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地方高校办学质量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05E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持续提升</w:t>
            </w:r>
          </w:p>
        </w:tc>
      </w:tr>
      <w:tr w14:paraId="23CAB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B953A4">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nil"/>
              <w:right w:val="single" w:color="000000" w:sz="4" w:space="0"/>
            </w:tcBorders>
            <w:shd w:val="clear" w:color="auto" w:fill="auto"/>
            <w:vAlign w:val="center"/>
          </w:tcPr>
          <w:p w14:paraId="4B05C26F">
            <w:pPr>
              <w:jc w:val="center"/>
              <w:rPr>
                <w:rFonts w:hint="eastAsia" w:ascii="宋体" w:hAnsi="宋体" w:eastAsia="宋体" w:cs="宋体"/>
                <w:i w:val="0"/>
                <w:iCs w:val="0"/>
                <w:color w:val="000000"/>
                <w:sz w:val="20"/>
                <w:szCs w:val="20"/>
                <w:u w:val="none"/>
              </w:rPr>
            </w:pPr>
          </w:p>
        </w:tc>
        <w:tc>
          <w:tcPr>
            <w:tcW w:w="11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F8676">
            <w:pPr>
              <w:jc w:val="center"/>
              <w:rPr>
                <w:rFonts w:hint="eastAsia" w:ascii="宋体" w:hAnsi="宋体" w:eastAsia="宋体" w:cs="宋体"/>
                <w:i w:val="0"/>
                <w:iCs w:val="0"/>
                <w:color w:val="000000"/>
                <w:sz w:val="20"/>
                <w:szCs w:val="20"/>
                <w:u w:val="none"/>
              </w:rPr>
            </w:pPr>
          </w:p>
        </w:tc>
        <w:tc>
          <w:tcPr>
            <w:tcW w:w="44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778E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新增国家级、部级项目数量（个）</w:t>
            </w:r>
          </w:p>
        </w:tc>
        <w:tc>
          <w:tcPr>
            <w:tcW w:w="2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6BA6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14:paraId="1934B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9D0F57">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nil"/>
              <w:right w:val="single" w:color="000000" w:sz="4" w:space="0"/>
            </w:tcBorders>
            <w:shd w:val="clear" w:color="auto" w:fill="auto"/>
            <w:vAlign w:val="center"/>
          </w:tcPr>
          <w:p w14:paraId="3005F2CA">
            <w:pPr>
              <w:jc w:val="center"/>
              <w:rPr>
                <w:rFonts w:hint="eastAsia" w:ascii="宋体" w:hAnsi="宋体" w:eastAsia="宋体" w:cs="宋体"/>
                <w:i w:val="0"/>
                <w:iCs w:val="0"/>
                <w:color w:val="000000"/>
                <w:sz w:val="20"/>
                <w:szCs w:val="20"/>
                <w:u w:val="none"/>
              </w:rPr>
            </w:pPr>
          </w:p>
        </w:tc>
        <w:tc>
          <w:tcPr>
            <w:tcW w:w="11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C5EC6">
            <w:pPr>
              <w:jc w:val="center"/>
              <w:rPr>
                <w:rFonts w:hint="eastAsia" w:ascii="宋体" w:hAnsi="宋体" w:eastAsia="宋体" w:cs="宋体"/>
                <w:i w:val="0"/>
                <w:iCs w:val="0"/>
                <w:color w:val="000000"/>
                <w:sz w:val="20"/>
                <w:szCs w:val="20"/>
                <w:u w:val="none"/>
              </w:rPr>
            </w:pPr>
          </w:p>
        </w:tc>
        <w:tc>
          <w:tcPr>
            <w:tcW w:w="44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1DCA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维修维护学校建筑面积（㎡）</w:t>
            </w:r>
          </w:p>
        </w:tc>
        <w:tc>
          <w:tcPr>
            <w:tcW w:w="2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53C8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≥400000</w:t>
            </w:r>
          </w:p>
        </w:tc>
      </w:tr>
      <w:tr w14:paraId="11442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4EDC1F">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nil"/>
              <w:right w:val="single" w:color="000000" w:sz="4" w:space="0"/>
            </w:tcBorders>
            <w:shd w:val="clear" w:color="auto" w:fill="auto"/>
            <w:vAlign w:val="center"/>
          </w:tcPr>
          <w:p w14:paraId="679C2B45">
            <w:pPr>
              <w:jc w:val="center"/>
              <w:rPr>
                <w:rFonts w:hint="eastAsia" w:ascii="宋体" w:hAnsi="宋体" w:eastAsia="宋体" w:cs="宋体"/>
                <w:i w:val="0"/>
                <w:iCs w:val="0"/>
                <w:color w:val="000000"/>
                <w:sz w:val="20"/>
                <w:szCs w:val="20"/>
                <w:u w:val="none"/>
              </w:rPr>
            </w:pPr>
          </w:p>
        </w:tc>
        <w:tc>
          <w:tcPr>
            <w:tcW w:w="11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C2BAFF">
            <w:pPr>
              <w:jc w:val="center"/>
              <w:rPr>
                <w:rFonts w:hint="eastAsia" w:ascii="宋体" w:hAnsi="宋体" w:eastAsia="宋体" w:cs="宋体"/>
                <w:i w:val="0"/>
                <w:iCs w:val="0"/>
                <w:color w:val="000000"/>
                <w:sz w:val="20"/>
                <w:szCs w:val="20"/>
                <w:u w:val="none"/>
              </w:rPr>
            </w:pPr>
          </w:p>
        </w:tc>
        <w:tc>
          <w:tcPr>
            <w:tcW w:w="44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57AA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学校各类公共基础设施完好率（%）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461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r>
      <w:tr w14:paraId="2CC91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BFE9B">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nil"/>
              <w:right w:val="single" w:color="000000" w:sz="4" w:space="0"/>
            </w:tcBorders>
            <w:shd w:val="clear" w:color="auto" w:fill="auto"/>
            <w:vAlign w:val="center"/>
          </w:tcPr>
          <w:p w14:paraId="24FB7B81">
            <w:pPr>
              <w:jc w:val="center"/>
              <w:rPr>
                <w:rFonts w:hint="eastAsia" w:ascii="宋体" w:hAnsi="宋体" w:eastAsia="宋体" w:cs="宋体"/>
                <w:i w:val="0"/>
                <w:iCs w:val="0"/>
                <w:color w:val="000000"/>
                <w:sz w:val="20"/>
                <w:szCs w:val="20"/>
                <w:u w:val="none"/>
              </w:rPr>
            </w:pPr>
          </w:p>
        </w:tc>
        <w:tc>
          <w:tcPr>
            <w:tcW w:w="11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D81DE9">
            <w:pPr>
              <w:jc w:val="center"/>
              <w:rPr>
                <w:rFonts w:hint="eastAsia" w:ascii="宋体" w:hAnsi="宋体" w:eastAsia="宋体" w:cs="宋体"/>
                <w:i w:val="0"/>
                <w:iCs w:val="0"/>
                <w:color w:val="000000"/>
                <w:sz w:val="20"/>
                <w:szCs w:val="20"/>
                <w:u w:val="none"/>
              </w:rPr>
            </w:pPr>
          </w:p>
        </w:tc>
        <w:tc>
          <w:tcPr>
            <w:tcW w:w="44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3421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引进人才数量（人）</w:t>
            </w:r>
          </w:p>
        </w:tc>
        <w:tc>
          <w:tcPr>
            <w:tcW w:w="2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43BE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r>
      <w:tr w14:paraId="4A3D2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C110B">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nil"/>
              <w:right w:val="single" w:color="000000" w:sz="4" w:space="0"/>
            </w:tcBorders>
            <w:shd w:val="clear" w:color="auto" w:fill="auto"/>
            <w:vAlign w:val="center"/>
          </w:tcPr>
          <w:p w14:paraId="64F6BCC7">
            <w:pPr>
              <w:jc w:val="center"/>
              <w:rPr>
                <w:rFonts w:hint="eastAsia" w:ascii="宋体" w:hAnsi="宋体" w:eastAsia="宋体" w:cs="宋体"/>
                <w:i w:val="0"/>
                <w:iCs w:val="0"/>
                <w:color w:val="000000"/>
                <w:sz w:val="20"/>
                <w:szCs w:val="20"/>
                <w:u w:val="none"/>
              </w:rPr>
            </w:pPr>
          </w:p>
        </w:tc>
        <w:tc>
          <w:tcPr>
            <w:tcW w:w="1169" w:type="dxa"/>
            <w:tcBorders>
              <w:top w:val="nil"/>
              <w:left w:val="single" w:color="000000" w:sz="4" w:space="0"/>
              <w:bottom w:val="nil"/>
              <w:right w:val="single" w:color="000000" w:sz="4" w:space="0"/>
            </w:tcBorders>
            <w:shd w:val="clear" w:color="auto" w:fill="auto"/>
            <w:vAlign w:val="center"/>
          </w:tcPr>
          <w:p w14:paraId="1F2965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4427" w:type="dxa"/>
            <w:gridSpan w:val="2"/>
            <w:tcBorders>
              <w:top w:val="single" w:color="000000" w:sz="4" w:space="0"/>
              <w:left w:val="single" w:color="000000" w:sz="4" w:space="0"/>
              <w:bottom w:val="single" w:color="000000" w:sz="4" w:space="0"/>
              <w:right w:val="nil"/>
            </w:tcBorders>
            <w:shd w:val="clear" w:color="auto" w:fill="auto"/>
            <w:vAlign w:val="center"/>
          </w:tcPr>
          <w:p w14:paraId="08C6E9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预算执行进度（%）</w:t>
            </w:r>
          </w:p>
        </w:tc>
        <w:tc>
          <w:tcPr>
            <w:tcW w:w="2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77AD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r>
      <w:tr w14:paraId="20C86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C498A">
            <w:pPr>
              <w:jc w:val="center"/>
              <w:rPr>
                <w:rFonts w:hint="eastAsia" w:ascii="宋体" w:hAnsi="宋体" w:eastAsia="宋体" w:cs="宋体"/>
                <w:i w:val="0"/>
                <w:iCs w:val="0"/>
                <w:color w:val="000000"/>
                <w:sz w:val="20"/>
                <w:szCs w:val="20"/>
                <w:u w:val="none"/>
              </w:rPr>
            </w:pPr>
          </w:p>
        </w:tc>
        <w:tc>
          <w:tcPr>
            <w:tcW w:w="9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AC3E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169" w:type="dxa"/>
            <w:vMerge w:val="restart"/>
            <w:tcBorders>
              <w:top w:val="single" w:color="000000" w:sz="4" w:space="0"/>
              <w:left w:val="single" w:color="000000" w:sz="4" w:space="0"/>
              <w:bottom w:val="nil"/>
              <w:right w:val="single" w:color="000000" w:sz="4" w:space="0"/>
            </w:tcBorders>
            <w:shd w:val="clear" w:color="auto" w:fill="auto"/>
            <w:vAlign w:val="center"/>
          </w:tcPr>
          <w:p w14:paraId="3AB2FF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4427" w:type="dxa"/>
            <w:gridSpan w:val="2"/>
            <w:tcBorders>
              <w:top w:val="single" w:color="000000" w:sz="4" w:space="0"/>
              <w:left w:val="single" w:color="000000" w:sz="4" w:space="0"/>
              <w:bottom w:val="single" w:color="000000" w:sz="4" w:space="0"/>
              <w:right w:val="nil"/>
            </w:tcBorders>
            <w:shd w:val="clear" w:color="auto" w:fill="auto"/>
            <w:vAlign w:val="center"/>
          </w:tcPr>
          <w:p w14:paraId="4AF9F5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受益学校数（所）</w:t>
            </w:r>
          </w:p>
        </w:tc>
        <w:tc>
          <w:tcPr>
            <w:tcW w:w="2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2DA9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0FFD7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7AFCC">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D74095">
            <w:pPr>
              <w:jc w:val="center"/>
              <w:rPr>
                <w:rFonts w:hint="eastAsia" w:ascii="宋体" w:hAnsi="宋体" w:eastAsia="宋体" w:cs="宋体"/>
                <w:i w:val="0"/>
                <w:iCs w:val="0"/>
                <w:color w:val="000000"/>
                <w:sz w:val="20"/>
                <w:szCs w:val="20"/>
                <w:u w:val="none"/>
              </w:rPr>
            </w:pPr>
          </w:p>
        </w:tc>
        <w:tc>
          <w:tcPr>
            <w:tcW w:w="1169" w:type="dxa"/>
            <w:vMerge w:val="continue"/>
            <w:tcBorders>
              <w:top w:val="single" w:color="000000" w:sz="4" w:space="0"/>
              <w:left w:val="single" w:color="000000" w:sz="4" w:space="0"/>
              <w:bottom w:val="nil"/>
              <w:right w:val="single" w:color="000000" w:sz="4" w:space="0"/>
            </w:tcBorders>
            <w:shd w:val="clear" w:color="auto" w:fill="auto"/>
            <w:vAlign w:val="center"/>
          </w:tcPr>
          <w:p w14:paraId="2CE9FBC3">
            <w:pPr>
              <w:jc w:val="center"/>
              <w:rPr>
                <w:rFonts w:hint="eastAsia" w:ascii="宋体" w:hAnsi="宋体" w:eastAsia="宋体" w:cs="宋体"/>
                <w:i w:val="0"/>
                <w:iCs w:val="0"/>
                <w:color w:val="000000"/>
                <w:sz w:val="20"/>
                <w:szCs w:val="20"/>
                <w:u w:val="none"/>
              </w:rPr>
            </w:pPr>
          </w:p>
        </w:tc>
        <w:tc>
          <w:tcPr>
            <w:tcW w:w="4427" w:type="dxa"/>
            <w:gridSpan w:val="2"/>
            <w:tcBorders>
              <w:top w:val="single" w:color="000000" w:sz="4" w:space="0"/>
              <w:left w:val="single" w:color="000000" w:sz="4" w:space="0"/>
              <w:bottom w:val="single" w:color="000000" w:sz="4" w:space="0"/>
              <w:right w:val="nil"/>
            </w:tcBorders>
            <w:shd w:val="clear" w:color="auto" w:fill="auto"/>
            <w:vAlign w:val="center"/>
          </w:tcPr>
          <w:p w14:paraId="702BAC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受益学生数（人）</w:t>
            </w:r>
          </w:p>
        </w:tc>
        <w:tc>
          <w:tcPr>
            <w:tcW w:w="2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1DBA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≥18000</w:t>
            </w:r>
          </w:p>
        </w:tc>
      </w:tr>
      <w:tr w14:paraId="2A909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09DA5">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634DD">
            <w:pPr>
              <w:jc w:val="center"/>
              <w:rPr>
                <w:rFonts w:hint="eastAsia" w:ascii="宋体" w:hAnsi="宋体" w:eastAsia="宋体" w:cs="宋体"/>
                <w:i w:val="0"/>
                <w:iCs w:val="0"/>
                <w:color w:val="000000"/>
                <w:sz w:val="20"/>
                <w:szCs w:val="20"/>
                <w:u w:val="none"/>
              </w:rPr>
            </w:pPr>
          </w:p>
        </w:tc>
        <w:tc>
          <w:tcPr>
            <w:tcW w:w="1169" w:type="dxa"/>
            <w:vMerge w:val="continue"/>
            <w:tcBorders>
              <w:top w:val="single" w:color="000000" w:sz="4" w:space="0"/>
              <w:left w:val="single" w:color="000000" w:sz="4" w:space="0"/>
              <w:bottom w:val="nil"/>
              <w:right w:val="single" w:color="000000" w:sz="4" w:space="0"/>
            </w:tcBorders>
            <w:shd w:val="clear" w:color="auto" w:fill="auto"/>
            <w:vAlign w:val="center"/>
          </w:tcPr>
          <w:p w14:paraId="65AE72E0">
            <w:pPr>
              <w:jc w:val="center"/>
              <w:rPr>
                <w:rFonts w:hint="eastAsia" w:ascii="宋体" w:hAnsi="宋体" w:eastAsia="宋体" w:cs="宋体"/>
                <w:i w:val="0"/>
                <w:iCs w:val="0"/>
                <w:color w:val="000000"/>
                <w:sz w:val="20"/>
                <w:szCs w:val="20"/>
                <w:u w:val="none"/>
              </w:rPr>
            </w:pPr>
          </w:p>
        </w:tc>
        <w:tc>
          <w:tcPr>
            <w:tcW w:w="4427" w:type="dxa"/>
            <w:gridSpan w:val="2"/>
            <w:tcBorders>
              <w:top w:val="single" w:color="000000" w:sz="4" w:space="0"/>
              <w:left w:val="single" w:color="000000" w:sz="4" w:space="0"/>
              <w:bottom w:val="single" w:color="000000" w:sz="4" w:space="0"/>
              <w:right w:val="nil"/>
            </w:tcBorders>
            <w:shd w:val="clear" w:color="auto" w:fill="auto"/>
            <w:vAlign w:val="center"/>
          </w:tcPr>
          <w:p w14:paraId="2F1D74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为国家重大战略与区域经济发展提供支撑</w:t>
            </w:r>
          </w:p>
        </w:tc>
        <w:tc>
          <w:tcPr>
            <w:tcW w:w="2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7DB4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逐步加强</w:t>
            </w:r>
          </w:p>
        </w:tc>
      </w:tr>
      <w:tr w14:paraId="60DDE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7E4218">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DE6D0">
            <w:pPr>
              <w:jc w:val="center"/>
              <w:rPr>
                <w:rFonts w:hint="eastAsia" w:ascii="宋体" w:hAnsi="宋体" w:eastAsia="宋体" w:cs="宋体"/>
                <w:i w:val="0"/>
                <w:iCs w:val="0"/>
                <w:color w:val="000000"/>
                <w:sz w:val="20"/>
                <w:szCs w:val="20"/>
                <w:u w:val="none"/>
              </w:rPr>
            </w:pPr>
          </w:p>
        </w:tc>
        <w:tc>
          <w:tcPr>
            <w:tcW w:w="1169" w:type="dxa"/>
            <w:tcBorders>
              <w:top w:val="single" w:color="000000" w:sz="4" w:space="0"/>
              <w:left w:val="single" w:color="000000" w:sz="4" w:space="0"/>
              <w:bottom w:val="nil"/>
              <w:right w:val="single" w:color="000000" w:sz="4" w:space="0"/>
            </w:tcBorders>
            <w:shd w:val="clear" w:color="auto" w:fill="auto"/>
            <w:vAlign w:val="center"/>
          </w:tcPr>
          <w:p w14:paraId="0D32F2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4427" w:type="dxa"/>
            <w:gridSpan w:val="2"/>
            <w:tcBorders>
              <w:top w:val="single" w:color="000000" w:sz="4" w:space="0"/>
              <w:left w:val="single" w:color="000000" w:sz="4" w:space="0"/>
              <w:bottom w:val="single" w:color="000000" w:sz="4" w:space="0"/>
              <w:right w:val="nil"/>
            </w:tcBorders>
            <w:shd w:val="clear" w:color="auto" w:fill="auto"/>
            <w:vAlign w:val="center"/>
          </w:tcPr>
          <w:p w14:paraId="6915EF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促进高校持续健康发展</w:t>
            </w:r>
          </w:p>
        </w:tc>
        <w:tc>
          <w:tcPr>
            <w:tcW w:w="2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B7A7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持续有效</w:t>
            </w:r>
          </w:p>
        </w:tc>
      </w:tr>
      <w:tr w14:paraId="4AC98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0DA6DE">
            <w:pPr>
              <w:jc w:val="cente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020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7AE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满意度指标</w:t>
            </w:r>
          </w:p>
        </w:tc>
        <w:tc>
          <w:tcPr>
            <w:tcW w:w="4427" w:type="dxa"/>
            <w:gridSpan w:val="2"/>
            <w:tcBorders>
              <w:top w:val="single" w:color="000000" w:sz="4" w:space="0"/>
              <w:left w:val="single" w:color="000000" w:sz="4" w:space="0"/>
              <w:bottom w:val="single" w:color="000000" w:sz="4" w:space="0"/>
              <w:right w:val="nil"/>
            </w:tcBorders>
            <w:shd w:val="clear" w:color="auto" w:fill="auto"/>
            <w:vAlign w:val="center"/>
          </w:tcPr>
          <w:p w14:paraId="210FD2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地方高校满意度（%）</w:t>
            </w:r>
          </w:p>
        </w:tc>
        <w:tc>
          <w:tcPr>
            <w:tcW w:w="2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DD39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r>
    </w:tbl>
    <w:p w14:paraId="427BB0B5">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leftChars="200"/>
        <w:textAlignment w:val="auto"/>
        <w:rPr>
          <w:rFonts w:hint="default" w:ascii="仿宋_GB2312" w:hAnsi="Times New Roman" w:eastAsia="仿宋_GB2312" w:cs="Times New Roman"/>
          <w:b/>
          <w:bCs/>
          <w:color w:val="000000" w:themeColor="text1"/>
          <w:spacing w:val="-6"/>
          <w:kern w:val="2"/>
          <w:sz w:val="32"/>
          <w:szCs w:val="32"/>
          <w:lang w:val="en-US" w:eastAsia="zh-CN" w:bidi="ar-SA"/>
          <w14:textFill>
            <w14:solidFill>
              <w14:schemeClr w14:val="tx1"/>
            </w14:solidFill>
          </w14:textFill>
        </w:rPr>
      </w:pPr>
    </w:p>
    <w:sectPr>
      <w:footerReference r:id="rId3" w:type="default"/>
      <w:footerReference r:id="rId4" w:type="even"/>
      <w:pgSz w:w="11906" w:h="16838"/>
      <w:pgMar w:top="1814" w:right="1474" w:bottom="1701" w:left="1588" w:header="851" w:footer="851"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3687902"/>
    </w:sdtPr>
    <w:sdtEndPr>
      <w:rPr>
        <w:rFonts w:asciiTheme="minorEastAsia" w:hAnsiTheme="minorEastAsia"/>
        <w:sz w:val="28"/>
        <w:szCs w:val="28"/>
      </w:rPr>
    </w:sdtEndPr>
    <w:sdtContent>
      <w:p w14:paraId="48DD212B">
        <w:pPr>
          <w:pStyle w:val="6"/>
          <w:jc w:val="right"/>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2</w:t>
        </w:r>
        <w:r>
          <w:rPr>
            <w:rFonts w:asciiTheme="minorEastAsia" w:hAnsiTheme="minorEastAsia"/>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2006500"/>
    </w:sdtPr>
    <w:sdtEndPr>
      <w:rPr>
        <w:rFonts w:asciiTheme="minorEastAsia" w:hAnsiTheme="minorEastAsia"/>
        <w:sz w:val="28"/>
        <w:szCs w:val="28"/>
        <w:lang w:val="zh-CN"/>
      </w:rPr>
    </w:sdtEndPr>
    <w:sdtContent>
      <w:p w14:paraId="6413F81D">
        <w:pPr>
          <w:pStyle w:val="6"/>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1</w:t>
        </w:r>
        <w:r>
          <w:rPr>
            <w:rFonts w:asciiTheme="minorEastAsia" w:hAnsiTheme="minorEastAsia"/>
            <w:sz w:val="28"/>
            <w:szCs w:val="28"/>
            <w:lang w:val="zh-C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7D8122"/>
    <w:multiLevelType w:val="singleLevel"/>
    <w:tmpl w:val="DE7D8122"/>
    <w:lvl w:ilvl="0" w:tentative="0">
      <w:start w:val="1"/>
      <w:numFmt w:val="chineseCounting"/>
      <w:suff w:val="nothing"/>
      <w:lvlText w:val="（%1）"/>
      <w:lvlJc w:val="left"/>
      <w:rPr>
        <w:rFonts w:hint="eastAsia"/>
        <w:b/>
        <w:bCs/>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B7436"/>
    <w:rsid w:val="092C1016"/>
    <w:rsid w:val="10B44DFC"/>
    <w:rsid w:val="12A3059B"/>
    <w:rsid w:val="17F40A9B"/>
    <w:rsid w:val="197778F9"/>
    <w:rsid w:val="254A7641"/>
    <w:rsid w:val="2B471E45"/>
    <w:rsid w:val="2C547302"/>
    <w:rsid w:val="2D8D147C"/>
    <w:rsid w:val="2E8760E0"/>
    <w:rsid w:val="30BD2B80"/>
    <w:rsid w:val="3FF6107A"/>
    <w:rsid w:val="427F673E"/>
    <w:rsid w:val="46BF4C9C"/>
    <w:rsid w:val="4C0A0767"/>
    <w:rsid w:val="4C8C0DCC"/>
    <w:rsid w:val="52006417"/>
    <w:rsid w:val="52F474CB"/>
    <w:rsid w:val="54BC345F"/>
    <w:rsid w:val="558077B3"/>
    <w:rsid w:val="574B0E81"/>
    <w:rsid w:val="5A722EBF"/>
    <w:rsid w:val="63283C1D"/>
    <w:rsid w:val="67957581"/>
    <w:rsid w:val="6C9F6B0B"/>
    <w:rsid w:val="75750A98"/>
    <w:rsid w:val="7F46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footnote text"/>
    <w:basedOn w:val="1"/>
    <w:unhideWhenUsed/>
    <w:qFormat/>
    <w:uiPriority w:val="99"/>
    <w:pPr>
      <w:snapToGrid w:val="0"/>
      <w:jc w:val="left"/>
    </w:pPr>
    <w:rPr>
      <w:rFonts w:ascii="Times New Roman" w:hAnsi="Times New Roman" w:eastAsia="宋体" w:cs="Times New Roman"/>
      <w:sz w:val="18"/>
      <w:szCs w:val="18"/>
    </w:rPr>
  </w:style>
  <w:style w:type="paragraph" w:styleId="3">
    <w:name w:val="Normal Indent"/>
    <w:basedOn w:val="1"/>
    <w:unhideWhenUsed/>
    <w:qFormat/>
    <w:uiPriority w:val="99"/>
    <w:pPr>
      <w:ind w:firstLine="420" w:firstLineChars="200"/>
    </w:pPr>
  </w:style>
  <w:style w:type="paragraph" w:styleId="4">
    <w:name w:val="annotation text"/>
    <w:basedOn w:val="1"/>
    <w:link w:val="18"/>
    <w:qFormat/>
    <w:uiPriority w:val="0"/>
    <w:pPr>
      <w:jc w:val="left"/>
    </w:pPr>
  </w:style>
  <w:style w:type="paragraph" w:styleId="5">
    <w:name w:val="Body Text"/>
    <w:qFormat/>
    <w:uiPriority w:val="0"/>
    <w:pPr>
      <w:spacing w:line="560" w:lineRule="exact"/>
      <w:ind w:firstLine="630" w:firstLineChars="200"/>
      <w:jc w:val="both"/>
    </w:pPr>
    <w:rPr>
      <w:rFonts w:ascii="仿宋_GB2312" w:hAnsi="仿宋_GB2312" w:eastAsia="仿宋_GB2312" w:cs="Times New Roman"/>
      <w:spacing w:val="-6"/>
      <w:sz w:val="32"/>
    </w:rPr>
  </w:style>
  <w:style w:type="paragraph" w:styleId="6">
    <w:name w:val="footer"/>
    <w:basedOn w:val="1"/>
    <w:link w:val="17"/>
    <w:qFormat/>
    <w:uiPriority w:val="99"/>
    <w:pPr>
      <w:tabs>
        <w:tab w:val="center" w:pos="4153"/>
        <w:tab w:val="right" w:pos="8306"/>
      </w:tabs>
      <w:snapToGrid w:val="0"/>
      <w:jc w:val="left"/>
    </w:pPr>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paragraph" w:styleId="9">
    <w:name w:val="annotation subject"/>
    <w:basedOn w:val="4"/>
    <w:next w:val="4"/>
    <w:link w:val="19"/>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EndnoteText"/>
    <w:basedOn w:val="1"/>
    <w:qFormat/>
    <w:uiPriority w:val="0"/>
  </w:style>
  <w:style w:type="character" w:customStyle="1" w:styleId="16">
    <w:name w:val="页眉 字符"/>
    <w:basedOn w:val="12"/>
    <w:link w:val="7"/>
    <w:qFormat/>
    <w:uiPriority w:val="0"/>
    <w:rPr>
      <w:rFonts w:asciiTheme="minorHAnsi" w:hAnsiTheme="minorHAnsi" w:eastAsiaTheme="minorEastAsia" w:cstheme="minorBidi"/>
      <w:kern w:val="2"/>
      <w:sz w:val="18"/>
      <w:szCs w:val="18"/>
    </w:rPr>
  </w:style>
  <w:style w:type="character" w:customStyle="1" w:styleId="17">
    <w:name w:val="页脚 字符"/>
    <w:basedOn w:val="12"/>
    <w:link w:val="6"/>
    <w:qFormat/>
    <w:uiPriority w:val="99"/>
    <w:rPr>
      <w:rFonts w:asciiTheme="minorHAnsi" w:hAnsiTheme="minorHAnsi" w:eastAsiaTheme="minorEastAsia" w:cstheme="minorBidi"/>
      <w:kern w:val="2"/>
      <w:sz w:val="18"/>
      <w:szCs w:val="18"/>
    </w:rPr>
  </w:style>
  <w:style w:type="character" w:customStyle="1" w:styleId="18">
    <w:name w:val="批注文字 字符"/>
    <w:basedOn w:val="12"/>
    <w:link w:val="4"/>
    <w:qFormat/>
    <w:uiPriority w:val="0"/>
    <w:rPr>
      <w:rFonts w:asciiTheme="minorHAnsi" w:hAnsiTheme="minorHAnsi" w:eastAsiaTheme="minorEastAsia" w:cstheme="minorBidi"/>
      <w:kern w:val="2"/>
      <w:sz w:val="21"/>
      <w:szCs w:val="24"/>
    </w:rPr>
  </w:style>
  <w:style w:type="character" w:customStyle="1" w:styleId="19">
    <w:name w:val="批注主题 字符"/>
    <w:basedOn w:val="18"/>
    <w:link w:val="9"/>
    <w:qFormat/>
    <w:uiPriority w:val="0"/>
    <w:rPr>
      <w:rFonts w:asciiTheme="minorHAnsi" w:hAnsiTheme="minorHAnsi" w:eastAsiaTheme="minorEastAsia" w:cstheme="minorBidi"/>
      <w:b/>
      <w:bCs/>
      <w:kern w:val="2"/>
      <w:sz w:val="21"/>
      <w:szCs w:val="24"/>
    </w:rPr>
  </w:style>
  <w:style w:type="character" w:customStyle="1" w:styleId="20">
    <w:name w:val="font41"/>
    <w:basedOn w:val="12"/>
    <w:qFormat/>
    <w:uiPriority w:val="0"/>
    <w:rPr>
      <w:rFonts w:hint="eastAsia" w:ascii="宋体" w:hAnsi="宋体" w:eastAsia="宋体" w:cs="宋体"/>
      <w:b/>
      <w:bCs/>
      <w:color w:val="000000"/>
      <w:sz w:val="20"/>
      <w:szCs w:val="20"/>
      <w:u w:val="none"/>
    </w:rPr>
  </w:style>
  <w:style w:type="character" w:customStyle="1" w:styleId="21">
    <w:name w:val="font31"/>
    <w:basedOn w:val="12"/>
    <w:qFormat/>
    <w:uiPriority w:val="0"/>
    <w:rPr>
      <w:rFonts w:hint="eastAsia" w:ascii="宋体" w:hAnsi="宋体" w:eastAsia="宋体" w:cs="宋体"/>
      <w:color w:val="000000"/>
      <w:sz w:val="20"/>
      <w:szCs w:val="20"/>
      <w:u w:val="none"/>
    </w:rPr>
  </w:style>
  <w:style w:type="paragraph" w:customStyle="1" w:styleId="22">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14751</Words>
  <Characters>15317</Characters>
  <Lines>76</Lines>
  <Paragraphs>21</Paragraphs>
  <TotalTime>4</TotalTime>
  <ScaleCrop>false</ScaleCrop>
  <LinksUpToDate>false</LinksUpToDate>
  <CharactersWithSpaces>15418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2023-02-15T11:09:00Z</dcterms:created>
  <dc:creator>Lenovo</dc:creator>
  <cp:lastModifiedBy>故事已落幕青春未完结</cp:lastModifiedBy>
  <cp:lastPrinted>2025-02-14T15:37:00Z</cp:lastPrinted>
  <dcterms:modified xsi:type="dcterms:W3CDTF">2026-02-07T07:38:37Z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2EBBCD13C695408488E9089A670B21DD_13</vt:lpwstr>
  </property>
  <property fmtid="{D5CDD505-2E9C-101B-9397-08002B2CF9AE}" pid="4" name="KSOTemplateDocerSaveRecord">
    <vt:lpwstr>eyJoZGlkIjoiNzhlYjNmYjVhNGI0NGUwNTlkNGVjNGM3ODUwNTk4MTQiLCJ1c2VySWQiOiIyNDI4MjUyMzAifQ==</vt:lpwstr>
  </property>
</Properties>
</file>