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宋体" w:eastAsia="方正小标宋简体" w:cs="宋体"/>
          <w:b/>
          <w:bCs/>
          <w:color w:val="000000" w:themeColor="text1"/>
          <w:sz w:val="44"/>
          <w:szCs w:val="44"/>
          <w14:textFill>
            <w14:solidFill>
              <w14:schemeClr w14:val="tx1"/>
            </w14:solidFill>
          </w14:textFill>
        </w:rPr>
      </w:pPr>
      <w:r>
        <w:rPr>
          <w:rFonts w:hint="eastAsia" w:ascii="方正小标宋简体" w:hAnsi="宋体" w:eastAsia="方正小标宋简体" w:cs="宋体"/>
          <w:b/>
          <w:bCs/>
          <w:color w:val="000000" w:themeColor="text1"/>
          <w:sz w:val="40"/>
          <w:szCs w:val="40"/>
          <w14:textFill>
            <w14:solidFill>
              <w14:schemeClr w14:val="tx1"/>
            </w14:solidFill>
          </w14:textFill>
        </w:rPr>
        <w:t>海</w:t>
      </w:r>
      <w:r>
        <w:rPr>
          <w:rFonts w:hint="eastAsia" w:ascii="方正小标宋简体" w:hAnsi="宋体" w:eastAsia="方正小标宋简体" w:cs="宋体"/>
          <w:b/>
          <w:bCs/>
          <w:color w:val="000000" w:themeColor="text1"/>
          <w:sz w:val="44"/>
          <w:szCs w:val="44"/>
          <w14:textFill>
            <w14:solidFill>
              <w14:schemeClr w14:val="tx1"/>
            </w14:solidFill>
          </w14:textFill>
        </w:rPr>
        <w:t>南热带海洋学院</w:t>
      </w:r>
    </w:p>
    <w:p>
      <w:pPr>
        <w:spacing w:line="580" w:lineRule="exact"/>
        <w:jc w:val="center"/>
        <w:rPr>
          <w:rFonts w:hint="eastAsia" w:ascii="方正小标宋简体" w:hAnsi="宋体" w:eastAsia="方正小标宋简体" w:cs="宋体"/>
          <w:b/>
          <w:bCs/>
          <w:color w:val="000000" w:themeColor="text1"/>
          <w:sz w:val="44"/>
          <w:szCs w:val="44"/>
          <w14:textFill>
            <w14:solidFill>
              <w14:schemeClr w14:val="tx1"/>
            </w14:solidFill>
          </w14:textFill>
        </w:rPr>
      </w:pPr>
      <w:r>
        <w:rPr>
          <w:rFonts w:hint="eastAsia" w:ascii="方正小标宋简体" w:hAnsi="宋体" w:eastAsia="方正小标宋简体" w:cs="宋体"/>
          <w:b/>
          <w:bCs/>
          <w:color w:val="000000" w:themeColor="text1"/>
          <w:sz w:val="44"/>
          <w:szCs w:val="44"/>
          <w14:textFill>
            <w14:solidFill>
              <w14:schemeClr w14:val="tx1"/>
            </w14:solidFill>
          </w14:textFill>
        </w:rPr>
        <w:t>关于省教育厅2024年度支持地方高校</w:t>
      </w:r>
    </w:p>
    <w:p>
      <w:pPr>
        <w:spacing w:line="580" w:lineRule="exact"/>
        <w:jc w:val="center"/>
        <w:rPr>
          <w:rFonts w:hint="eastAsia" w:ascii="方正小标宋简体" w:hAnsi="宋体" w:eastAsia="方正小标宋简体" w:cs="宋体"/>
          <w:b/>
          <w:bCs/>
          <w:color w:val="000000" w:themeColor="text1"/>
          <w:sz w:val="44"/>
          <w:szCs w:val="44"/>
          <w14:textFill>
            <w14:solidFill>
              <w14:schemeClr w14:val="tx1"/>
            </w14:solidFill>
          </w14:textFill>
        </w:rPr>
      </w:pPr>
      <w:r>
        <w:rPr>
          <w:rFonts w:hint="eastAsia" w:ascii="方正小标宋简体" w:hAnsi="宋体" w:eastAsia="方正小标宋简体" w:cs="宋体"/>
          <w:b/>
          <w:bCs/>
          <w:color w:val="000000" w:themeColor="text1"/>
          <w:sz w:val="44"/>
          <w:szCs w:val="44"/>
          <w14:textFill>
            <w14:solidFill>
              <w14:schemeClr w14:val="tx1"/>
            </w14:solidFill>
          </w14:textFill>
        </w:rPr>
        <w:t>改革发展项目资金使用情况的工作总结</w:t>
      </w:r>
    </w:p>
    <w:p>
      <w:pPr>
        <w:spacing w:line="480" w:lineRule="exact"/>
        <w:jc w:val="center"/>
        <w:rPr>
          <w:rFonts w:hint="eastAsia" w:ascii="方正小标宋简体" w:hAnsi="宋体" w:eastAsia="方正小标宋简体" w:cs="宋体"/>
          <w:b/>
          <w:bCs/>
          <w:color w:val="000000" w:themeColor="text1"/>
          <w:sz w:val="44"/>
          <w:szCs w:val="44"/>
          <w14:textFill>
            <w14:solidFill>
              <w14:schemeClr w14:val="tx1"/>
            </w14:solidFill>
          </w14:textFill>
        </w:rPr>
      </w:pPr>
    </w:p>
    <w:p>
      <w:pPr>
        <w:spacing w:line="560" w:lineRule="exac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省教育厅：</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根据《财政部 教育部关于印发〈支持地方高校改革发展资金管理办法〉的通知》（财科教〔2016〕72号）等相关文件精神，遵循“中央引导、省级统筹，科学规划、合理安排，权责清晰、规范管理，专款专用、注重绩效”的原则，我校结合自身发展规划及需求，管好用好专项资金，充分发挥专项资金的使用效益。在贵厅的大力支持和关心帮助下，2024年共安排我校中央财政支持地方高校改革发展项目资金5,662万元，现将该项目资金的执行情况汇报如下：</w:t>
      </w:r>
    </w:p>
    <w:p>
      <w:pPr>
        <w:spacing w:line="560" w:lineRule="exact"/>
        <w:ind w:firstLine="640" w:firstLineChars="200"/>
        <w:rPr>
          <w:rFonts w:hint="eastAsia" w:ascii="黑体" w:hAnsi="黑体" w:eastAsia="黑体" w:cs="Times New Roman"/>
          <w:color w:val="000000" w:themeColor="text1"/>
          <w:sz w:val="32"/>
          <w:szCs w:val="32"/>
          <w14:textFill>
            <w14:solidFill>
              <w14:schemeClr w14:val="tx1"/>
            </w14:solidFill>
          </w14:textFill>
        </w:rPr>
      </w:pPr>
      <w:r>
        <w:rPr>
          <w:rFonts w:ascii="黑体" w:hAnsi="黑体" w:eastAsia="黑体" w:cs="Times New Roman"/>
          <w:color w:val="000000" w:themeColor="text1"/>
          <w:sz w:val="32"/>
          <w:szCs w:val="32"/>
          <w14:textFill>
            <w14:solidFill>
              <w14:schemeClr w14:val="tx1"/>
            </w14:solidFill>
          </w14:textFill>
        </w:rPr>
        <w:t>一、202</w:t>
      </w:r>
      <w:r>
        <w:rPr>
          <w:rFonts w:hint="eastAsia" w:ascii="黑体" w:hAnsi="黑体" w:eastAsia="黑体" w:cs="Times New Roman"/>
          <w:color w:val="000000" w:themeColor="text1"/>
          <w:sz w:val="32"/>
          <w:szCs w:val="32"/>
          <w14:textFill>
            <w14:solidFill>
              <w14:schemeClr w14:val="tx1"/>
            </w14:solidFill>
          </w14:textFill>
        </w:rPr>
        <w:t>4</w:t>
      </w:r>
      <w:r>
        <w:rPr>
          <w:rFonts w:ascii="黑体" w:hAnsi="黑体" w:eastAsia="黑体" w:cs="Times New Roman"/>
          <w:color w:val="000000" w:themeColor="text1"/>
          <w:sz w:val="32"/>
          <w:szCs w:val="32"/>
          <w14:textFill>
            <w14:solidFill>
              <w14:schemeClr w14:val="tx1"/>
            </w14:solidFill>
          </w14:textFill>
        </w:rPr>
        <w:t>年度资金安排使用情况</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我校</w:t>
      </w:r>
      <w:r>
        <w:rPr>
          <w:rFonts w:hint="eastAsia" w:ascii="仿宋_GB2312" w:hAnsi="黑体" w:eastAsia="仿宋_GB2312" w:cs="Times New Roman"/>
          <w:color w:val="000000" w:themeColor="text1"/>
          <w:sz w:val="32"/>
          <w:szCs w:val="32"/>
          <w14:textFill>
            <w14:solidFill>
              <w14:schemeClr w14:val="tx1"/>
            </w14:solidFill>
          </w14:textFill>
        </w:rPr>
        <w:t>2024</w:t>
      </w:r>
      <w:r>
        <w:rPr>
          <w:rFonts w:hint="eastAsia" w:ascii="仿宋_GB2312" w:hAnsi="Times New Roman" w:eastAsia="仿宋_GB2312" w:cs="Times New Roman"/>
          <w:color w:val="000000" w:themeColor="text1"/>
          <w:sz w:val="32"/>
          <w:szCs w:val="32"/>
          <w14:textFill>
            <w14:solidFill>
              <w14:schemeClr w14:val="tx1"/>
            </w14:solidFill>
          </w14:textFill>
        </w:rPr>
        <w:t>年获得支持地方高校改革发展项目资金共计</w:t>
      </w:r>
      <w:r>
        <w:rPr>
          <w:rFonts w:hint="eastAsia" w:ascii="仿宋_GB2312" w:hAnsi="黑体" w:eastAsia="仿宋_GB2312" w:cs="Times New Roman"/>
          <w:color w:val="000000" w:themeColor="text1"/>
          <w:sz w:val="32"/>
          <w:szCs w:val="32"/>
          <w14:textFill>
            <w14:solidFill>
              <w14:schemeClr w14:val="tx1"/>
            </w14:solidFill>
          </w14:textFill>
        </w:rPr>
        <w:t>5,662</w:t>
      </w:r>
      <w:r>
        <w:rPr>
          <w:rFonts w:hint="eastAsia" w:ascii="仿宋_GB2312" w:hAnsi="Times New Roman" w:eastAsia="仿宋_GB2312" w:cs="Times New Roman"/>
          <w:color w:val="000000" w:themeColor="text1"/>
          <w:sz w:val="32"/>
          <w:szCs w:val="32"/>
          <w14:textFill>
            <w14:solidFill>
              <w14:schemeClr w14:val="tx1"/>
            </w14:solidFill>
          </w14:textFill>
        </w:rPr>
        <w:t>万元，截止2023年12月31日，2023年中央财政安排的支持地方高校改革发展资金无结余，2024年项目资金已完成支出</w:t>
      </w:r>
      <w:r>
        <w:rPr>
          <w:rFonts w:hint="eastAsia" w:ascii="仿宋_GB2312" w:hAnsi="黑体" w:eastAsia="仿宋_GB2312" w:cs="Times New Roman"/>
          <w:color w:val="000000" w:themeColor="text1"/>
          <w:sz w:val="32"/>
          <w:szCs w:val="32"/>
          <w14:textFill>
            <w14:solidFill>
              <w14:schemeClr w14:val="tx1"/>
            </w14:solidFill>
          </w14:textFill>
        </w:rPr>
        <w:t>5,498.09</w:t>
      </w:r>
      <w:r>
        <w:rPr>
          <w:rFonts w:hint="eastAsia" w:ascii="仿宋_GB2312" w:hAnsi="Times New Roman" w:eastAsia="仿宋_GB2312" w:cs="Times New Roman"/>
          <w:color w:val="000000" w:themeColor="text1"/>
          <w:sz w:val="32"/>
          <w:szCs w:val="32"/>
          <w14:textFill>
            <w14:solidFill>
              <w14:schemeClr w14:val="tx1"/>
            </w14:solidFill>
          </w14:textFill>
        </w:rPr>
        <w:t>万元，支出进度</w:t>
      </w:r>
      <w:r>
        <w:rPr>
          <w:rFonts w:hint="eastAsia" w:ascii="仿宋_GB2312" w:hAnsi="黑体" w:eastAsia="仿宋_GB2312" w:cs="Times New Roman"/>
          <w:color w:val="000000" w:themeColor="text1"/>
          <w:sz w:val="32"/>
          <w:szCs w:val="32"/>
          <w14:textFill>
            <w14:solidFill>
              <w14:schemeClr w14:val="tx1"/>
            </w14:solidFill>
          </w14:textFill>
        </w:rPr>
        <w:t>97.11%</w:t>
      </w:r>
      <w:r>
        <w:rPr>
          <w:rFonts w:hint="eastAsia" w:ascii="仿宋_GB2312" w:hAnsi="Times New Roman" w:eastAsia="仿宋_GB2312" w:cs="Times New Roman"/>
          <w:color w:val="000000" w:themeColor="text1"/>
          <w:sz w:val="32"/>
          <w:szCs w:val="32"/>
          <w14:textFill>
            <w14:solidFill>
              <w14:schemeClr w14:val="tx1"/>
            </w14:solidFill>
          </w14:textFill>
        </w:rPr>
        <w:t>。其中，</w:t>
      </w:r>
      <w:r>
        <w:rPr>
          <w:rFonts w:hint="eastAsia" w:ascii="仿宋_GB2312" w:hAnsi="黑体" w:eastAsia="仿宋_GB2312" w:cs="Times New Roman"/>
          <w:color w:val="000000" w:themeColor="text1"/>
          <w:sz w:val="32"/>
          <w:szCs w:val="32"/>
          <w14:textFill>
            <w14:solidFill>
              <w14:schemeClr w14:val="tx1"/>
            </w14:solidFill>
          </w14:textFill>
        </w:rPr>
        <w:t>506-</w:t>
      </w:r>
      <w:r>
        <w:rPr>
          <w:rFonts w:hint="eastAsia" w:ascii="仿宋_GB2312" w:hAnsi="Times New Roman" w:eastAsia="仿宋_GB2312" w:cs="Times New Roman"/>
          <w:color w:val="000000" w:themeColor="text1"/>
          <w:sz w:val="32"/>
          <w:szCs w:val="32"/>
          <w14:textFill>
            <w14:solidFill>
              <w14:schemeClr w14:val="tx1"/>
            </w14:solidFill>
          </w14:textFill>
        </w:rPr>
        <w:t>对事业单位资本性补助安排资金</w:t>
      </w:r>
      <w:r>
        <w:rPr>
          <w:rFonts w:hint="eastAsia" w:ascii="仿宋_GB2312" w:hAnsi="黑体" w:eastAsia="仿宋_GB2312" w:cs="Times New Roman"/>
          <w:color w:val="000000" w:themeColor="text1"/>
          <w:sz w:val="32"/>
          <w:szCs w:val="32"/>
          <w14:textFill>
            <w14:solidFill>
              <w14:schemeClr w14:val="tx1"/>
            </w14:solidFill>
          </w14:textFill>
        </w:rPr>
        <w:t>700</w:t>
      </w:r>
      <w:r>
        <w:rPr>
          <w:rFonts w:hint="eastAsia" w:ascii="仿宋_GB2312" w:hAnsi="Times New Roman" w:eastAsia="仿宋_GB2312" w:cs="Times New Roman"/>
          <w:color w:val="000000" w:themeColor="text1"/>
          <w:sz w:val="32"/>
          <w:szCs w:val="32"/>
          <w14:textFill>
            <w14:solidFill>
              <w14:schemeClr w14:val="tx1"/>
            </w14:solidFill>
          </w14:textFill>
        </w:rPr>
        <w:t>万元，完成支出</w:t>
      </w:r>
      <w:r>
        <w:rPr>
          <w:rFonts w:hint="eastAsia" w:ascii="仿宋_GB2312" w:hAnsi="黑体" w:eastAsia="仿宋_GB2312" w:cs="Times New Roman"/>
          <w:color w:val="000000" w:themeColor="text1"/>
          <w:sz w:val="32"/>
          <w:szCs w:val="32"/>
          <w14:textFill>
            <w14:solidFill>
              <w14:schemeClr w14:val="tx1"/>
            </w14:solidFill>
          </w14:textFill>
        </w:rPr>
        <w:t>549.2</w:t>
      </w:r>
      <w:r>
        <w:rPr>
          <w:rFonts w:hint="eastAsia" w:ascii="仿宋_GB2312" w:hAnsi="Times New Roman" w:eastAsia="仿宋_GB2312" w:cs="Times New Roman"/>
          <w:color w:val="000000" w:themeColor="text1"/>
          <w:sz w:val="32"/>
          <w:szCs w:val="32"/>
          <w14:textFill>
            <w14:solidFill>
              <w14:schemeClr w14:val="tx1"/>
            </w14:solidFill>
          </w14:textFill>
        </w:rPr>
        <w:t>万元，支出进度</w:t>
      </w:r>
      <w:r>
        <w:rPr>
          <w:rFonts w:hint="eastAsia" w:ascii="仿宋_GB2312" w:hAnsi="黑体" w:eastAsia="仿宋_GB2312" w:cs="Times New Roman"/>
          <w:color w:val="000000" w:themeColor="text1"/>
          <w:sz w:val="32"/>
          <w:szCs w:val="32"/>
          <w14:textFill>
            <w14:solidFill>
              <w14:schemeClr w14:val="tx1"/>
            </w14:solidFill>
          </w14:textFill>
        </w:rPr>
        <w:t>78.46%</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黑体" w:eastAsia="仿宋_GB2312" w:cs="Times New Roman"/>
          <w:color w:val="000000" w:themeColor="text1"/>
          <w:sz w:val="32"/>
          <w:szCs w:val="32"/>
          <w14:textFill>
            <w14:solidFill>
              <w14:schemeClr w14:val="tx1"/>
            </w14:solidFill>
          </w14:textFill>
        </w:rPr>
        <w:t>505</w:t>
      </w:r>
      <w:r>
        <w:rPr>
          <w:rFonts w:hint="eastAsia" w:ascii="仿宋_GB2312" w:hAnsi="Times New Roman" w:eastAsia="仿宋_GB2312" w:cs="Times New Roman"/>
          <w:color w:val="000000" w:themeColor="text1"/>
          <w:sz w:val="32"/>
          <w:szCs w:val="32"/>
          <w14:textFill>
            <w14:solidFill>
              <w14:schemeClr w14:val="tx1"/>
            </w14:solidFill>
          </w14:textFill>
        </w:rPr>
        <w:t>-对事业单位经常性补助安排资金</w:t>
      </w:r>
      <w:r>
        <w:rPr>
          <w:rFonts w:hint="eastAsia" w:ascii="仿宋_GB2312" w:hAnsi="黑体" w:eastAsia="仿宋_GB2312" w:cs="Times New Roman"/>
          <w:color w:val="000000" w:themeColor="text1"/>
          <w:sz w:val="32"/>
          <w:szCs w:val="32"/>
          <w14:textFill>
            <w14:solidFill>
              <w14:schemeClr w14:val="tx1"/>
            </w14:solidFill>
          </w14:textFill>
        </w:rPr>
        <w:t>4,362</w:t>
      </w:r>
      <w:r>
        <w:rPr>
          <w:rFonts w:hint="eastAsia" w:ascii="仿宋_GB2312" w:hAnsi="Times New Roman" w:eastAsia="仿宋_GB2312" w:cs="Times New Roman"/>
          <w:color w:val="000000" w:themeColor="text1"/>
          <w:sz w:val="32"/>
          <w:szCs w:val="32"/>
          <w14:textFill>
            <w14:solidFill>
              <w14:schemeClr w14:val="tx1"/>
            </w14:solidFill>
          </w14:textFill>
        </w:rPr>
        <w:t>万元，完成支出</w:t>
      </w:r>
      <w:r>
        <w:rPr>
          <w:rFonts w:hint="eastAsia" w:ascii="仿宋_GB2312" w:hAnsi="黑体" w:eastAsia="仿宋_GB2312" w:cs="Times New Roman"/>
          <w:color w:val="000000" w:themeColor="text1"/>
          <w:sz w:val="32"/>
          <w:szCs w:val="32"/>
          <w14:textFill>
            <w14:solidFill>
              <w14:schemeClr w14:val="tx1"/>
            </w14:solidFill>
          </w14:textFill>
        </w:rPr>
        <w:t>4,349.11</w:t>
      </w:r>
      <w:r>
        <w:rPr>
          <w:rFonts w:hint="eastAsia" w:ascii="仿宋_GB2312" w:hAnsi="Times New Roman" w:eastAsia="仿宋_GB2312" w:cs="Times New Roman"/>
          <w:color w:val="000000" w:themeColor="text1"/>
          <w:sz w:val="32"/>
          <w:szCs w:val="32"/>
          <w14:textFill>
            <w14:solidFill>
              <w14:schemeClr w14:val="tx1"/>
            </w14:solidFill>
          </w14:textFill>
        </w:rPr>
        <w:t>万元，支出进度</w:t>
      </w:r>
      <w:r>
        <w:rPr>
          <w:rFonts w:hint="eastAsia" w:ascii="仿宋_GB2312" w:hAnsi="黑体" w:eastAsia="仿宋_GB2312" w:cs="Times New Roman"/>
          <w:color w:val="000000" w:themeColor="text1"/>
          <w:sz w:val="32"/>
          <w:szCs w:val="32"/>
          <w14:textFill>
            <w14:solidFill>
              <w14:schemeClr w14:val="tx1"/>
            </w14:solidFill>
          </w14:textFill>
        </w:rPr>
        <w:t>99.70%</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黑体" w:eastAsia="仿宋_GB2312" w:cs="Times New Roman"/>
          <w:color w:val="000000" w:themeColor="text1"/>
          <w:sz w:val="32"/>
          <w:szCs w:val="32"/>
          <w14:textFill>
            <w14:solidFill>
              <w14:schemeClr w14:val="tx1"/>
            </w14:solidFill>
          </w14:textFill>
        </w:rPr>
        <w:t>509</w:t>
      </w:r>
      <w:r>
        <w:rPr>
          <w:rFonts w:hint="eastAsia" w:ascii="仿宋_GB2312" w:hAnsi="Times New Roman" w:eastAsia="仿宋_GB2312" w:cs="Times New Roman"/>
          <w:color w:val="000000" w:themeColor="text1"/>
          <w:sz w:val="32"/>
          <w:szCs w:val="32"/>
          <w14:textFill>
            <w14:solidFill>
              <w14:schemeClr w14:val="tx1"/>
            </w14:solidFill>
          </w14:textFill>
        </w:rPr>
        <w:t>-对个人和家庭的补助安排资金</w:t>
      </w:r>
      <w:r>
        <w:rPr>
          <w:rFonts w:hint="eastAsia" w:ascii="仿宋_GB2312" w:hAnsi="黑体" w:eastAsia="仿宋_GB2312" w:cs="Times New Roman"/>
          <w:color w:val="000000" w:themeColor="text1"/>
          <w:sz w:val="32"/>
          <w:szCs w:val="32"/>
          <w14:textFill>
            <w14:solidFill>
              <w14:schemeClr w14:val="tx1"/>
            </w14:solidFill>
          </w14:textFill>
        </w:rPr>
        <w:t>600</w:t>
      </w:r>
      <w:r>
        <w:rPr>
          <w:rFonts w:hint="eastAsia" w:ascii="仿宋_GB2312" w:hAnsi="Times New Roman" w:eastAsia="仿宋_GB2312" w:cs="Times New Roman"/>
          <w:color w:val="000000" w:themeColor="text1"/>
          <w:sz w:val="32"/>
          <w:szCs w:val="32"/>
          <w14:textFill>
            <w14:solidFill>
              <w14:schemeClr w14:val="tx1"/>
            </w14:solidFill>
          </w14:textFill>
        </w:rPr>
        <w:t>万元，完成支出</w:t>
      </w:r>
      <w:r>
        <w:rPr>
          <w:rFonts w:hint="eastAsia" w:ascii="仿宋_GB2312" w:hAnsi="黑体" w:eastAsia="仿宋_GB2312" w:cs="Times New Roman"/>
          <w:color w:val="000000" w:themeColor="text1"/>
          <w:sz w:val="32"/>
          <w:szCs w:val="32"/>
          <w14:textFill>
            <w14:solidFill>
              <w14:schemeClr w14:val="tx1"/>
            </w14:solidFill>
          </w14:textFill>
        </w:rPr>
        <w:t>599.78</w:t>
      </w:r>
      <w:r>
        <w:rPr>
          <w:rFonts w:hint="eastAsia" w:ascii="仿宋_GB2312" w:hAnsi="Times New Roman" w:eastAsia="仿宋_GB2312" w:cs="Times New Roman"/>
          <w:color w:val="000000" w:themeColor="text1"/>
          <w:sz w:val="32"/>
          <w:szCs w:val="32"/>
          <w14:textFill>
            <w14:solidFill>
              <w14:schemeClr w14:val="tx1"/>
            </w14:solidFill>
          </w14:textFill>
        </w:rPr>
        <w:t>万元，支出进度</w:t>
      </w:r>
      <w:r>
        <w:rPr>
          <w:rFonts w:hint="eastAsia" w:ascii="仿宋_GB2312" w:hAnsi="黑体" w:eastAsia="仿宋_GB2312" w:cs="Times New Roman"/>
          <w:color w:val="000000" w:themeColor="text1"/>
          <w:sz w:val="32"/>
          <w:szCs w:val="32"/>
          <w14:textFill>
            <w14:solidFill>
              <w14:schemeClr w14:val="tx1"/>
            </w14:solidFill>
          </w14:textFill>
        </w:rPr>
        <w:t>99.96</w:t>
      </w:r>
      <w:r>
        <w:rPr>
          <w:rFonts w:hint="eastAsia" w:ascii="仿宋_GB2312"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黑体" w:eastAsia="仿宋_GB2312" w:cs="Times New Roman"/>
          <w:color w:val="000000" w:themeColor="text1"/>
          <w:sz w:val="32"/>
          <w:szCs w:val="32"/>
          <w14:textFill>
            <w14:solidFill>
              <w14:schemeClr w14:val="tx1"/>
            </w14:solidFill>
          </w14:textFill>
        </w:rPr>
        <w:t>2024</w:t>
      </w:r>
      <w:r>
        <w:rPr>
          <w:rFonts w:hint="eastAsia" w:ascii="仿宋_GB2312" w:hAnsi="Times New Roman" w:eastAsia="仿宋_GB2312" w:cs="Times New Roman"/>
          <w:color w:val="000000" w:themeColor="text1"/>
          <w:sz w:val="32"/>
          <w:szCs w:val="32"/>
          <w14:textFill>
            <w14:solidFill>
              <w14:schemeClr w14:val="tx1"/>
            </w14:solidFill>
          </w14:textFill>
        </w:rPr>
        <w:t>年支持地方高校改革发展项目资金主要用于以下几项内容：1.科研平台和专业能力实践基地建设项目，安排资金</w:t>
      </w:r>
      <w:r>
        <w:rPr>
          <w:rFonts w:hint="eastAsia" w:ascii="仿宋_GB2312" w:hAnsi="黑体" w:eastAsia="仿宋_GB2312" w:cs="Times New Roman"/>
          <w:color w:val="000000" w:themeColor="text1"/>
          <w:sz w:val="32"/>
          <w:szCs w:val="32"/>
          <w14:textFill>
            <w14:solidFill>
              <w14:schemeClr w14:val="tx1"/>
            </w14:solidFill>
          </w14:textFill>
        </w:rPr>
        <w:t>618</w:t>
      </w:r>
      <w:r>
        <w:rPr>
          <w:rFonts w:hint="eastAsia" w:ascii="仿宋_GB2312" w:hAnsi="Times New Roman" w:eastAsia="仿宋_GB2312" w:cs="Times New Roman"/>
          <w:color w:val="000000" w:themeColor="text1"/>
          <w:sz w:val="32"/>
          <w:szCs w:val="32"/>
          <w14:textFill>
            <w14:solidFill>
              <w14:schemeClr w14:val="tx1"/>
            </w14:solidFill>
          </w14:textFill>
        </w:rPr>
        <w:t>万元；</w:t>
      </w:r>
      <w:r>
        <w:rPr>
          <w:rFonts w:hint="eastAsia" w:ascii="仿宋_GB2312" w:hAnsi="Times New Roman" w:eastAsia="仿宋_GB2312" w:cs="Times New Roman"/>
          <w:color w:val="000000" w:themeColor="text1"/>
          <w:spacing w:val="2"/>
          <w:sz w:val="32"/>
          <w:szCs w:val="32"/>
          <w14:textFill>
            <w14:solidFill>
              <w14:schemeClr w14:val="tx1"/>
            </w14:solidFill>
          </w14:textFill>
        </w:rPr>
        <w:t>2.人才培养和创新团队建设项目，安排资金</w:t>
      </w:r>
      <w:r>
        <w:rPr>
          <w:rFonts w:hint="eastAsia" w:ascii="仿宋_GB2312" w:hAnsi="黑体" w:eastAsia="仿宋_GB2312" w:cs="Times New Roman"/>
          <w:color w:val="000000" w:themeColor="text1"/>
          <w:spacing w:val="2"/>
          <w:sz w:val="32"/>
          <w:szCs w:val="32"/>
          <w14:textFill>
            <w14:solidFill>
              <w14:schemeClr w14:val="tx1"/>
            </w14:solidFill>
          </w14:textFill>
        </w:rPr>
        <w:t>850</w:t>
      </w:r>
      <w:r>
        <w:rPr>
          <w:rFonts w:hint="eastAsia" w:ascii="仿宋_GB2312" w:hAnsi="Times New Roman" w:eastAsia="仿宋_GB2312" w:cs="Times New Roman"/>
          <w:color w:val="000000" w:themeColor="text1"/>
          <w:spacing w:val="2"/>
          <w:sz w:val="32"/>
          <w:szCs w:val="32"/>
          <w14:textFill>
            <w14:solidFill>
              <w14:schemeClr w14:val="tx1"/>
            </w14:solidFill>
          </w14:textFill>
        </w:rPr>
        <w:t>万元；</w:t>
      </w:r>
      <w:r>
        <w:rPr>
          <w:rFonts w:hint="eastAsia" w:ascii="仿宋_GB2312" w:hAnsi="Times New Roman" w:eastAsia="仿宋_GB2312" w:cs="Times New Roman"/>
          <w:color w:val="000000" w:themeColor="text1"/>
          <w:sz w:val="32"/>
          <w:szCs w:val="32"/>
          <w14:textFill>
            <w14:solidFill>
              <w14:schemeClr w14:val="tx1"/>
            </w14:solidFill>
          </w14:textFill>
        </w:rPr>
        <w:t>3.公共服务体系建设项目，安排资金</w:t>
      </w:r>
      <w:r>
        <w:rPr>
          <w:rFonts w:hint="eastAsia" w:ascii="仿宋_GB2312" w:hAnsi="黑体" w:eastAsia="仿宋_GB2312" w:cs="Times New Roman"/>
          <w:color w:val="000000" w:themeColor="text1"/>
          <w:sz w:val="32"/>
          <w:szCs w:val="32"/>
          <w14:textFill>
            <w14:solidFill>
              <w14:schemeClr w14:val="tx1"/>
            </w14:solidFill>
          </w14:textFill>
        </w:rPr>
        <w:t>2,543</w:t>
      </w:r>
      <w:r>
        <w:rPr>
          <w:rFonts w:hint="eastAsia" w:ascii="仿宋_GB2312" w:hAnsi="Times New Roman" w:eastAsia="仿宋_GB2312" w:cs="Times New Roman"/>
          <w:color w:val="000000" w:themeColor="text1"/>
          <w:sz w:val="32"/>
          <w:szCs w:val="32"/>
          <w14:textFill>
            <w14:solidFill>
              <w14:schemeClr w14:val="tx1"/>
            </w14:solidFill>
          </w14:textFill>
        </w:rPr>
        <w:t>万元；4.学生创新发展专项，安排资金</w:t>
      </w:r>
      <w:r>
        <w:rPr>
          <w:rFonts w:hint="eastAsia" w:ascii="仿宋_GB2312" w:hAnsi="黑体" w:eastAsia="仿宋_GB2312" w:cs="Times New Roman"/>
          <w:color w:val="000000" w:themeColor="text1"/>
          <w:sz w:val="32"/>
          <w:szCs w:val="32"/>
          <w14:textFill>
            <w14:solidFill>
              <w14:schemeClr w14:val="tx1"/>
            </w14:solidFill>
          </w14:textFill>
        </w:rPr>
        <w:t>308</w:t>
      </w:r>
      <w:r>
        <w:rPr>
          <w:rFonts w:hint="eastAsia" w:ascii="仿宋_GB2312" w:hAnsi="Times New Roman" w:eastAsia="仿宋_GB2312" w:cs="Times New Roman"/>
          <w:color w:val="000000" w:themeColor="text1"/>
          <w:sz w:val="32"/>
          <w:szCs w:val="32"/>
          <w14:textFill>
            <w14:solidFill>
              <w14:schemeClr w14:val="tx1"/>
            </w14:solidFill>
          </w14:textFill>
        </w:rPr>
        <w:t>万元；5.学科、硕士学位点建设，安排资金</w:t>
      </w:r>
      <w:r>
        <w:rPr>
          <w:rFonts w:hint="eastAsia" w:ascii="仿宋_GB2312" w:hAnsi="黑体" w:eastAsia="仿宋_GB2312" w:cs="Times New Roman"/>
          <w:color w:val="000000" w:themeColor="text1"/>
          <w:sz w:val="32"/>
          <w:szCs w:val="32"/>
          <w14:textFill>
            <w14:solidFill>
              <w14:schemeClr w14:val="tx1"/>
            </w14:solidFill>
          </w14:textFill>
        </w:rPr>
        <w:t>368</w:t>
      </w:r>
      <w:r>
        <w:rPr>
          <w:rFonts w:hint="eastAsia" w:ascii="仿宋_GB2312" w:hAnsi="Times New Roman" w:eastAsia="仿宋_GB2312" w:cs="Times New Roman"/>
          <w:color w:val="000000" w:themeColor="text1"/>
          <w:sz w:val="32"/>
          <w:szCs w:val="32"/>
          <w14:textFill>
            <w14:solidFill>
              <w14:schemeClr w14:val="tx1"/>
            </w14:solidFill>
          </w14:textFill>
        </w:rPr>
        <w:t>万元；6、教学</w:t>
      </w:r>
      <w:bookmarkStart w:id="3" w:name="_GoBack"/>
      <w:bookmarkEnd w:id="3"/>
      <w:r>
        <w:rPr>
          <w:rFonts w:hint="eastAsia" w:ascii="仿宋_GB2312" w:hAnsi="Times New Roman" w:eastAsia="仿宋_GB2312" w:cs="Times New Roman"/>
          <w:color w:val="000000" w:themeColor="text1"/>
          <w:sz w:val="32"/>
          <w:szCs w:val="32"/>
          <w14:textFill>
            <w14:solidFill>
              <w14:schemeClr w14:val="tx1"/>
            </w14:solidFill>
          </w14:textFill>
        </w:rPr>
        <w:t>业务专项，安排资金</w:t>
      </w:r>
      <w:r>
        <w:rPr>
          <w:rFonts w:hint="eastAsia" w:ascii="仿宋_GB2312" w:hAnsi="黑体" w:eastAsia="仿宋_GB2312" w:cs="Times New Roman"/>
          <w:color w:val="FF0000"/>
          <w:sz w:val="32"/>
          <w:szCs w:val="32"/>
          <w:highlight w:val="yellow"/>
          <w:lang w:val="en-US" w:eastAsia="zh-CN"/>
        </w:rPr>
        <w:t>975</w:t>
      </w:r>
      <w:r>
        <w:rPr>
          <w:rFonts w:hint="eastAsia" w:ascii="仿宋_GB2312" w:hAnsi="Times New Roman" w:eastAsia="仿宋_GB2312" w:cs="Times New Roman"/>
          <w:color w:val="000000" w:themeColor="text1"/>
          <w:sz w:val="32"/>
          <w:szCs w:val="32"/>
          <w14:textFill>
            <w14:solidFill>
              <w14:schemeClr w14:val="tx1"/>
            </w14:solidFill>
          </w14:textFill>
        </w:rPr>
        <w:t>万元。</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我校</w:t>
      </w:r>
      <w:r>
        <w:rPr>
          <w:rFonts w:hint="eastAsia" w:ascii="仿宋_GB2312" w:hAnsi="黑体" w:eastAsia="仿宋_GB2312" w:cs="Times New Roman"/>
          <w:color w:val="000000" w:themeColor="text1"/>
          <w:sz w:val="32"/>
          <w:szCs w:val="32"/>
          <w14:textFill>
            <w14:solidFill>
              <w14:schemeClr w14:val="tx1"/>
            </w14:solidFill>
          </w14:textFill>
        </w:rPr>
        <w:t>2024</w:t>
      </w:r>
      <w:r>
        <w:rPr>
          <w:rFonts w:hint="eastAsia" w:ascii="仿宋_GB2312" w:hAnsi="Times New Roman" w:eastAsia="仿宋_GB2312" w:cs="Times New Roman"/>
          <w:color w:val="000000" w:themeColor="text1"/>
          <w:sz w:val="32"/>
          <w:szCs w:val="32"/>
          <w14:textFill>
            <w14:solidFill>
              <w14:schemeClr w14:val="tx1"/>
            </w14:solidFill>
          </w14:textFill>
        </w:rPr>
        <w:t>年支持地方高校改革发展项目执行成效明显，通过该资金的投入和建设，我校的基础教学科研条件得到改善，师资队伍素质结构更加优化，学生学习、实践、就业和创新能力得到提升，学校办学质量得到提升、特色得以彰显，办学效益和办学声誉进一步提高。</w:t>
      </w:r>
    </w:p>
    <w:p>
      <w:pPr>
        <w:spacing w:line="560" w:lineRule="exact"/>
        <w:ind w:firstLine="640" w:firstLineChars="200"/>
        <w:rPr>
          <w:rFonts w:hint="eastAsia" w:ascii="黑体" w:hAnsi="黑体" w:eastAsia="黑体" w:cs="Times New Roman"/>
          <w:color w:val="000000" w:themeColor="text1"/>
          <w:sz w:val="32"/>
          <w:szCs w:val="32"/>
          <w14:textFill>
            <w14:solidFill>
              <w14:schemeClr w14:val="tx1"/>
            </w14:solidFill>
          </w14:textFill>
        </w:rPr>
      </w:pPr>
      <w:r>
        <w:rPr>
          <w:rFonts w:ascii="黑体" w:hAnsi="黑体" w:eastAsia="黑体" w:cs="Times New Roman"/>
          <w:color w:val="000000" w:themeColor="text1"/>
          <w:sz w:val="32"/>
          <w:szCs w:val="32"/>
          <w14:textFill>
            <w14:solidFill>
              <w14:schemeClr w14:val="tx1"/>
            </w14:solidFill>
          </w14:textFill>
        </w:rPr>
        <w:t>二、年度绩效目标完成情况</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通过支持地方高校改革发展项目的建设，主要达成以下目标：支持学校建设科研平台和实训中心，提高协同创新能力，促进科研成果转换；完善学校学科科研实验条件，提高人才培养能力和科学研究水平；改善学校基本办学条件及公共服务设施条件；拓展多元化补充专任教师通道，促进我校高层次人才队伍的总量稳步增长，师资队伍水平</w:t>
      </w:r>
      <w:r>
        <w:rPr>
          <w:rFonts w:hint="eastAsia" w:ascii="Times New Roman" w:hAnsi="Times New Roman" w:eastAsia="仿宋_GB2312" w:cs="Times New Roman"/>
          <w:color w:val="000000" w:themeColor="text1"/>
          <w:sz w:val="32"/>
          <w:szCs w:val="32"/>
          <w14:textFill>
            <w14:solidFill>
              <w14:schemeClr w14:val="tx1"/>
            </w14:solidFill>
          </w14:textFill>
        </w:rPr>
        <w:t>得到</w:t>
      </w:r>
      <w:r>
        <w:rPr>
          <w:rFonts w:ascii="Times New Roman" w:hAnsi="Times New Roman" w:eastAsia="仿宋_GB2312" w:cs="Times New Roman"/>
          <w:color w:val="000000" w:themeColor="text1"/>
          <w:sz w:val="32"/>
          <w:szCs w:val="32"/>
          <w14:textFill>
            <w14:solidFill>
              <w14:schemeClr w14:val="tx1"/>
            </w14:solidFill>
          </w14:textFill>
        </w:rPr>
        <w:t>明显提升；促进学校产、学、研一体化进程，提升我校学生培养质量，培养适应创新型国家建设需要的高水平人才。具体完成情况如下：</w:t>
      </w:r>
    </w:p>
    <w:p>
      <w:pPr>
        <w:numPr>
          <w:ilvl w:val="0"/>
          <w:numId w:val="1"/>
        </w:numPr>
        <w:spacing w:line="560" w:lineRule="exact"/>
        <w:ind w:firstLine="643"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科研平台和专业能力实践基地建设项目。</w:t>
      </w:r>
      <w:r>
        <w:rPr>
          <w:rFonts w:ascii="Times New Roman" w:hAnsi="Times New Roman" w:eastAsia="仿宋_GB2312" w:cs="Times New Roman"/>
          <w:color w:val="000000" w:themeColor="text1"/>
          <w:sz w:val="32"/>
          <w:szCs w:val="32"/>
          <w14:textFill>
            <w14:solidFill>
              <w14:schemeClr w14:val="tx1"/>
            </w14:solidFill>
          </w14:textFill>
        </w:rPr>
        <w:t>该项目资金主要用于</w:t>
      </w:r>
      <w:r>
        <w:rPr>
          <w:rFonts w:hint="eastAsia" w:ascii="Times New Roman" w:hAnsi="Times New Roman" w:eastAsia="仿宋_GB2312" w:cs="Times New Roman"/>
          <w:color w:val="000000" w:themeColor="text1"/>
          <w:sz w:val="32"/>
          <w:szCs w:val="32"/>
          <w14:textFill>
            <w14:solidFill>
              <w14:schemeClr w14:val="tx1"/>
            </w14:solidFill>
          </w14:textFill>
        </w:rPr>
        <w:t>校级人才科研启动项目、热带海洋生物资源利用与保护教育部重点实验室运行项目等4个重点实验室项目</w:t>
      </w:r>
      <w:r>
        <w:rPr>
          <w:rFonts w:hint="eastAsia" w:ascii="仿宋_GB2312" w:hAnsi="Times New Roman" w:eastAsia="仿宋_GB2312" w:cs="Times New Roman"/>
          <w:color w:val="000000" w:themeColor="text1"/>
          <w:sz w:val="32"/>
          <w:szCs w:val="32"/>
          <w14:textFill>
            <w14:solidFill>
              <w14:schemeClr w14:val="tx1"/>
            </w14:solidFill>
          </w14:textFill>
        </w:rPr>
        <w:t>、包振民及蒋兴伟等院士工作站科研平台建设项目、海南省海洋测绘工程等7个研究中心建设项目、海南民族教育重点等5个研究基地建设项目、科技类学术会议、科技发展专项、海南热带海洋科研管理系统运维项目等。</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1、校级人才科研启动项目</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2024年度校级人才科研项目立项73项，连同在研的40项校级人才科研项目共计113项，项目经费均来源于支持地方高校改革发展项目资金。按照《关于申报2024年度校级人才科研启动项目的通知》和《海南热带海洋学院人才科研启动项目管理办法》（热海大办〔2024〕5号）要求，撰写项目申请书和任务书，经二级单位审核通过后，报送科学技术处（人文社科处）进行审定、公示无异议后进行立项。根据项目年度执行计划编制年度经费预算表，报送科学技术处（人文社科处）和计划财务处进行审核，审核通过后获得项目年度经费。经费的支出严格按照获批的任务书和《海南热带海洋学院人才科研启动项目管理办法》（热海大办〔2024〕5号）的规定，实行专款专用。</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严格按照项目任务书的计划进度，项目组成员分工合作，各负其责，保证项目的顺利开展和执行。项目经费依据《中央财政支持地方高校发展专项资金管理办法》《海南热带海洋学院货物和服务采购管理实施细则（试行）》等文件要求，对采购金额达到20万元及以上的货物或服务按照学校招投标的流程进行采购，采购自行验收通过后，再报国有资产与设备处进行验收，验收无误后报计划财务处进行报账。项目立项后，根据任务书的计划进度开展各项工作。为规范该项目的管理，学校2024年出台了《海南热带海洋学院人才科研启动项目管理办法》（热海大办〔2024〕5号），为项目的管理提供了制度保障。项目执行期内，每年度提交年度检查报告，通过检查准确把握项目执行情况，对项目能否按期完成任务目标作出预判；对于总体进展顺利但也存在一定问题的项目，应采取必要措施督促项目改进和加强后续组织实施，确保项目按时完成任务目标；对于存在重大问题、难以完成预定任务目标的项目，要提出明确的处理意见。项目经费的实行专款专用，接受二级单位、科学技术处（人文社科处）、计划财务处、审计处等单位（部门）的检查和监督，确保项目经费的合理使用和合规性，提高经费使用效率。</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本项目自启动以来，各项工作按计划有序推进，取得了阶段性成果，教师们的科研实践能力和学术水平明显提升。项目已完成预期绩效目标，发表论文118篇、专利53个、专著17个，撰写研究报告12篇，培养学生65名，创作艺术作品2部，获软件著作权7项，待出版著作4部；获批国家级项目9个（含4个子课题）、省级项目20个、市级项目2项，横向科研项目8个，绩效目标完成率100%。本项目实施之后，有效提升了青年教师科学研究和技术创新能力，同时带动了学校整体科研学术水平的提高。该项目涉及基础研究、应用基础研究、应用研究等方面，旨在提高学校的科研水平，挖掘和培养和建设一批道德素质过硬、学术基础扎实、具有突出创新能力和发展潜力的杰出青年科技人才。</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2、重点实验室运行项目、院士工作站科研平台建设项目、研究中心建设项目及研究基地建设项目</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主要用于热带海洋生物资源利用与保护教育部重点实验室运行项目等5个重点实验室项目、包振民及蒋兴伟等院士工作站科研平台建设项目、海南省海洋测绘工程等7个研究中心建设项目、海南民族教育重点等5个研究基地建设项目建设。主要建设内容有维持重点实验室正常运转、完成日常工作任务，围绕主要任务和研究方向开展持续深入的系统性研究和探索性自主选题研究，按照科研工作需求进行仪器设备更新改造等工作，使实验室得以开放运行、自主创新研究和仪器设备更新改造；项目实施完成后，相关科研实验条件将得以改善，为实验室教学及科研水平的提高提供良好条件，有效完成2024年度科研平台建设任务。</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其中</w:t>
      </w:r>
      <w:bookmarkStart w:id="0" w:name="_Hlk156507489"/>
      <w:r>
        <w:rPr>
          <w:rFonts w:hint="eastAsia" w:ascii="仿宋_GB2312" w:hAnsi="Times New Roman" w:eastAsia="仿宋_GB2312" w:cs="Times New Roman"/>
          <w:color w:val="000000" w:themeColor="text1"/>
          <w:sz w:val="32"/>
          <w:szCs w:val="32"/>
          <w14:textFill>
            <w14:solidFill>
              <w14:schemeClr w14:val="tx1"/>
            </w14:solidFill>
          </w14:textFill>
        </w:rPr>
        <w:t>热带海洋生物资源利用与保护教育部重点实验室运行项目加大了重点实验室科研基础条件平台的建设力度，整合现有的海洋生物师资队伍，开展大型先进科技基础设施的共享和科技资源的重组，广泛开展合作与交流，构建布局合理，功能齐全，开发高效、体系完备的物质和信息保障系统，充分利用国际资源和信息化新技术，高水平、高起点建设重点实验室；组织重点实验室相关科研人员开展重点实验室海洋生物资源开发方向研讨和发展内容的论证，明确发展重点和所需硬件条件；邀请专家对建设内容做进一步的论证，并形成论证意见；确定建设内容并组织相关人员开展项目申报及后期工作推进。海岛旅游资源数据挖掘与监测预警技术文化和旅游部重点实验室建设项目利用多学科交叉优势，针对当前海岛旅游资源数据挖掘与监测预警技术存在问题，开展海岛旅游资源数据采集、存储、挖掘、分析、监测、预警相关应用基础研究，并将成果发表到相关期刊上。</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3、其他项目</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科技发展专项完成我校中国海洋学会常务理事单位和海南省石油学会理事单位会费缴纳，并组织相关代表参加学会会议、组织人员前往海南省海洋厅筹备海南省深海学会、申报“海南省曹喜滨院士工作站”、申报海南省科学技术协会2024年科技小院2个（“海南乐东东星斑科技小院”“海南陵水石斑鱼科技小院”），已公示、申报2024年海南省野外科学观测研究站“海南省海草床生态系统野外观测站”、申报2024年科技厅省级科普场馆“热带海洋科普基地”、组织参加三亚市全国科普日开幕式及科普展、聘请专家开展2024年校级自然科学类项目结题评审工作。聘请专家开展2025年国家自然科学基金培训讲座、组织2人赴哈尔滨工业大学科技园调研科技成果转化平台建设及赴浙江大学科技园学习交流科技园建设发展经验；组织大学科技园科技成果展示交流、推进军工保密二级资质认定工作，先后赴武汉理工大学三亚科教创新园、浙江大学（海南）先进技术与产业创新平台调研，并对接多家认证服务公司，厘清认定程序、条件、需求等，并形成工作汇报，为下一步工作开展打好基础。2024年我校联合浙江大学海南研究院等多家单位成功举办第六届海底观测科学大会，8名院士出席大会，来自国内高校、科研机构和企业的300余名专家、学者和企业代表齐聚三亚，围绕国内外海底科学观测的前沿科学问题和关键技术难题进行研讨。中国科学院院士苏纪兰，中国工程院院士、中国海洋学会常务副理事长蒋兴伟在大会上致辞，中国科学院院士陈大可、翦知</w:t>
      </w:r>
      <w:r>
        <w:rPr>
          <w:rFonts w:hint="eastAsia" w:ascii="仿宋" w:hAnsi="仿宋" w:eastAsia="仿宋" w:cs="微软雅黑"/>
          <w:color w:val="000000" w:themeColor="text1"/>
          <w:sz w:val="32"/>
          <w:szCs w:val="32"/>
          <w14:textFill>
            <w14:solidFill>
              <w14:schemeClr w14:val="tx1"/>
            </w14:solidFill>
          </w14:textFill>
        </w:rPr>
        <w:t>湣</w:t>
      </w:r>
      <w:r>
        <w:rPr>
          <w:rFonts w:hint="eastAsia" w:ascii="仿宋_GB2312" w:hAnsi="仿宋_GB2312" w:eastAsia="仿宋_GB2312" w:cs="仿宋_GB2312"/>
          <w:color w:val="000000" w:themeColor="text1"/>
          <w:sz w:val="32"/>
          <w:szCs w:val="32"/>
          <w14:textFill>
            <w14:solidFill>
              <w14:schemeClr w14:val="tx1"/>
            </w14:solidFill>
          </w14:textFill>
        </w:rPr>
        <w:t>和焦念志、欧洲科学院院士林间等专家围绕海洋智能观测与数字孪生系统、海底科学观测网进展与展望、海洋负排放与海底观测、国际海底科学技术前沿、机遇与未来挑战等主题作学术报告。大会设</w:t>
      </w:r>
      <w:r>
        <w:rPr>
          <w:rFonts w:hint="eastAsia" w:ascii="仿宋_GB2312" w:hAnsi="Times New Roman" w:eastAsia="仿宋_GB2312" w:cs="Times New Roman"/>
          <w:color w:val="000000" w:themeColor="text1"/>
          <w:sz w:val="32"/>
          <w:szCs w:val="32"/>
          <w14:textFill>
            <w14:solidFill>
              <w14:schemeClr w14:val="tx1"/>
            </w14:solidFill>
          </w14:textFill>
        </w:rPr>
        <w:t>9个专题分会场，各分会场以学术报告会和墙报展示的形式展开交流，共征集了79篇口头报告和43份优秀墙报。16家来自全国各地的参展企业展示了各自在海洋观测领域的技术与产品成果。</w:t>
      </w:r>
      <w:bookmarkEnd w:id="0"/>
    </w:p>
    <w:p>
      <w:pPr>
        <w:spacing w:line="560" w:lineRule="exact"/>
        <w:ind w:firstLine="643"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（二）人才培养和创新团队建设项目。</w:t>
      </w:r>
      <w:r>
        <w:rPr>
          <w:rFonts w:hint="eastAsia" w:ascii="仿宋_GB2312" w:hAnsi="Times New Roman" w:eastAsia="仿宋_GB2312" w:cs="Times New Roman"/>
          <w:color w:val="000000" w:themeColor="text1"/>
          <w:sz w:val="32"/>
          <w:szCs w:val="32"/>
          <w14:textFill>
            <w14:solidFill>
              <w14:schemeClr w14:val="tx1"/>
            </w14:solidFill>
          </w14:textFill>
        </w:rPr>
        <w:t>根据《百万人才进海南行动计划（2018-2025年）》等有关规定，围绕学校中心，紧扣学校“申博、更名大学”需求，我校大力实施人才强校战略，主要采取外引与内培相结合的方式大力引进和培养人才，完善引才机制，提升人才服务水平，努力为学校转型发展提供有力的人才支撑、政策支撑和服务保障。根据《2018-2022年全国干部教育培训规划》《2019-2023年全国党员教育培训工作规划》《2019-2023年海南省干部教育培训规划》文件及习总书记关于女干部、党外干部培养选拔工作的重要指示精神，需要对全校中层干部、女干部及党外干部等进行轮训，达到县处级以上干部5年内参加培训时间累计不少于3个月或550学时，每年每单位人均脱产培训学时数处级不低于110学时、科级不低于90学时；其中各级干部每年每人网络培训不低于50个学时，每年每单位脱产培训调训率处级不低于30%，科级不低于25%。</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人才招聘项目，主要用于引进人才，办理人才手续，专家评审费等，教师队伍培训（交流）项目主要用于高素质教师队伍建设，实施“双师双能型”师资培育工程，支持教师学历提升等方面。根据学校发展和学科建设需要，畅通人才引进渠道，加大海内外高层次人才的引进力度。2024年考核招聘高层次人才面向社会发布招聘岗位119人，现已引进高层次人才49人，其中具有博士学位47人，具有副教授及以上职称12人。2024年公开招聘员额制工作人员公告（第一批），面向社会公开招聘专任教师、辅导员等14人，现已入职9人。通过引进和培养两个渠道，每年引进及培养博士不少于20人，到2026年使具有博士学位者达到300人，为选拔后备学科带头人和学术团队成员构筑坚实的人才基础。在师资培养方面有规划、重投入，鼓励教师提升学历、晋职称。学校为教师在专业能力提升、外出访问、进修、攻读硕博士等方面提供和创造条件，鼓励教师积极申报科研课题，提高我校师资水平和教学科研能力。2024年实际新增加攻读博士学位教师22人，9人毕业获得学历提升学历学位，其中取得博士学位8人，硕士学位1人。2024年实际培训517人次。2024年“双师双能型”教师占比超过23％，比2023年提高1个百分点，距离2025年设置的30%的目标再进一步。</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组织学校副科级及以上干部网络培训2次（累计不低于50学时），组织周末线下培训2次共6天；组织处级干部专题培训班1次6天，科级干部培训班1次3天；开展个报填报线上专项培训；参与省委组织部和省委党校组织的中青班调训；参加教育部中南教育管理干部培训、省委党校及其他上级部门安排的培训等；鼓励开展其他校级交流和线上网络培训。</w:t>
      </w:r>
    </w:p>
    <w:p>
      <w:pPr>
        <w:spacing w:line="560" w:lineRule="exact"/>
        <w:ind w:firstLine="643"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（三）公共服务体系建设项目。</w:t>
      </w:r>
      <w:r>
        <w:rPr>
          <w:rFonts w:hint="eastAsia" w:ascii="仿宋_GB2312" w:hAnsi="Times New Roman" w:eastAsia="仿宋_GB2312" w:cs="Times New Roman"/>
          <w:color w:val="000000" w:themeColor="text1"/>
          <w:sz w:val="32"/>
          <w:szCs w:val="32"/>
          <w14:textFill>
            <w14:solidFill>
              <w14:schemeClr w14:val="tx1"/>
            </w14:solidFill>
          </w14:textFill>
        </w:rPr>
        <w:t>该项目主要用于图书馆文献资源建设、后勤校园服务保障维修管理、信息化运维项目、实验室安全运行维护、办公设备和家具购置等。图书馆文献资源建设的内容包括开展文献资源建设项目（图书、电子资源）、智慧图书馆系统设备建设、设备系统运维服务等，2024年实际采购购置中文纸质图书51,230册，中外文报刊1,684份，电子资源项目共35个，采购的文献资源种类丰富、质量高，满足了广大师生的教学、科研和学习需求。同时，图书馆服务水平有所提升，用户满意度提高,使得借阅数量和进馆读者数量大幅度上升。数字资源每天24小时提供网络服务，2024年借出图书19,020册次，还回图书15,514册次，接待读者1,038,720人次;电子阅览室2024年接待读者达17,776人次，2024年电子资源访问量近41,884,675次，电子资源下载量近2,767,261次。通过微信、QQ群、邮箱完成读者咨询答疑，为校内外用户提供信息参考、文献传递、查收查引及协助教师科研需求，图书馆目前通过39个微信群，7个QQ群，服务师生共计10,500余人。2024年本馆共开展社会科普服务工作67项，服务人次达202,730人，产生了良好的社会效益。通过与</w:t>
      </w:r>
      <w:bookmarkStart w:id="1" w:name="OLE_LINK5"/>
      <w:bookmarkStart w:id="2" w:name="OLE_LINK6"/>
      <w:r>
        <w:rPr>
          <w:rFonts w:hint="eastAsia" w:ascii="仿宋_GB2312" w:hAnsi="Times New Roman" w:eastAsia="仿宋_GB2312" w:cs="Times New Roman"/>
          <w:color w:val="000000" w:themeColor="text1"/>
          <w:sz w:val="32"/>
          <w:szCs w:val="32"/>
          <w14:textFill>
            <w14:solidFill>
              <w14:schemeClr w14:val="tx1"/>
            </w14:solidFill>
          </w14:textFill>
        </w:rPr>
        <w:t>电子借阅证系统、自助借还书系统、门禁人脸识别系统、图书馆微信公众号、盘点车等公司</w:t>
      </w:r>
      <w:bookmarkEnd w:id="1"/>
      <w:bookmarkEnd w:id="2"/>
      <w:r>
        <w:rPr>
          <w:rFonts w:hint="eastAsia" w:ascii="仿宋_GB2312" w:hAnsi="Times New Roman" w:eastAsia="仿宋_GB2312" w:cs="Times New Roman"/>
          <w:color w:val="000000" w:themeColor="text1"/>
          <w:sz w:val="32"/>
          <w:szCs w:val="32"/>
          <w14:textFill>
            <w14:solidFill>
              <w14:schemeClr w14:val="tx1"/>
            </w14:solidFill>
          </w14:textFill>
        </w:rPr>
        <w:t>对接完成智慧化借还书流程，实现了为全校的教学、科研提供智慧化服务，保障了读者入馆学习的智慧化服务，全面提升图书馆的服务能力。</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后勤校园服务保障维修管理方面，通过聘请专业服务公司实施校园物业管理服务，提供卫生保洁、水电管理、电梯维护、病媒防制等物业服务，保障学校的水电安全供应和卫生整洁的校园环境。完成三亚校区41部电梯的日常维保；完成全校（五指山、三亚校区）常态的环境消杀，保障学校病媒生物密度达标；完成三亚校区除教师村外的绿化养护；完成三亚校区行政楼、教学楼（6栋、7栋、8栋、9栋）、图书馆、海洋人文社科大楼、艺术教学楼和艺术教学排演中心等区域的公共卫生保洁及该区域的防疫消毒等工作。后勤零星维修项目经费用于维修维护学校57.52万平米的基础设施，主要包括学生宿舍、教室、实验室、办公室、</w:t>
      </w:r>
      <w:r>
        <w:rPr>
          <w:rFonts w:ascii="仿宋_GB2312" w:hAnsi="Times New Roman" w:eastAsia="仿宋_GB2312" w:cs="Times New Roman"/>
          <w:color w:val="000000" w:themeColor="text1"/>
          <w:sz w:val="32"/>
          <w:szCs w:val="32"/>
          <w14:textFill>
            <w14:solidFill>
              <w14:schemeClr w14:val="tx1"/>
            </w14:solidFill>
          </w14:textFill>
        </w:rPr>
        <w:t>户外公共设施（如道路）及围网等的</w:t>
      </w:r>
      <w:r>
        <w:rPr>
          <w:rFonts w:hint="eastAsia" w:ascii="仿宋_GB2312" w:hAnsi="Times New Roman" w:eastAsia="仿宋_GB2312" w:cs="Times New Roman"/>
          <w:color w:val="000000" w:themeColor="text1"/>
          <w:sz w:val="32"/>
          <w:szCs w:val="32"/>
          <w14:textFill>
            <w14:solidFill>
              <w14:schemeClr w14:val="tx1"/>
            </w14:solidFill>
          </w14:textFill>
        </w:rPr>
        <w:t>等维修维护。实现学校的教学条件及学生住宿条件的明显改善，保障学校的正常教学、科研和生活秩序，促进学校的快速发展；实施2024级新生宿舍卫生保洁、内墙粉刷、空调检修项目，提升住宿的满意度和体验感。</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信息化运行保障涉及的执行内容主要有：</w:t>
      </w:r>
      <w:r>
        <w:rPr>
          <w:rFonts w:ascii="仿宋_GB2312" w:hAnsi="Times New Roman" w:eastAsia="仿宋_GB2312" w:cs="Times New Roman"/>
          <w:color w:val="000000" w:themeColor="text1"/>
          <w:sz w:val="32"/>
          <w:szCs w:val="32"/>
          <w14:textFill>
            <w14:solidFill>
              <w14:schemeClr w14:val="tx1"/>
            </w14:solidFill>
          </w14:textFill>
        </w:rPr>
        <w:t>保障校园信息化基本运行和教学活动的顺利开展，实施五指山校区三个苑区图书馆的网络线路改造等保障措施，并开展智慧校园信息化银校合作需求项目的初步方案编制工作</w:t>
      </w:r>
      <w:r>
        <w:rPr>
          <w:rFonts w:hint="eastAsia" w:ascii="仿宋_GB2312" w:hAnsi="Times New Roman" w:eastAsia="仿宋_GB2312" w:cs="Times New Roman"/>
          <w:color w:val="000000" w:themeColor="text1"/>
          <w:sz w:val="32"/>
          <w:szCs w:val="32"/>
          <w14:textFill>
            <w14:solidFill>
              <w14:schemeClr w14:val="tx1"/>
            </w14:solidFill>
          </w14:textFill>
        </w:rPr>
        <w:t>。具体为维护学校校园网信息点2.2万个、业务支撑系统40个，基本确保了校园信息化的正常运转；保障五指山校区图书馆学生用网需求，实现五指山校区三个苑区的图书馆网络线路改造及无线网络信号覆盖，追加了无线上网授权Licenses2000个，充分满足了五指山校区近三千学生的在图书馆学习的上网需求；国家级考试监控中心的监控系统线路、UPS不间断电源设备维修维保工作，摄像头检查、录像系统检测等；艺术楼、人文社科大楼、留学生公寓楼光缆线路维修维护、学生宿舍楼网络暗线维修工作；公开招聘中博设计研究院就学校智慧校园信息化提升设计方案，推动银校合作建设智慧校园信息化项目的开展，继续完成校内各部门需求的收集和初设方案的修改工作，并形成初稿。</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通过实验室安全运行维护等项目的实施，利用实验室耗材经费、废弃物处置经费以及设备维护经费，确保全校教学实验课程、毕业论文工作能够有条不紊地开展，维持实验室设备的稳定运行，及时且安全地处理实验室废弃物，营造安全、高效的实验教学与科研环境。</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办公设备和家具购置中实验室设备维修与耗材与办公设备维修与耗材项目共完成设备维修与耗材购置233次，保障了全校行政办公设备的正常运转，教学科研仪器的稳定运行；复印纸购置项目采购A4纸647箱、A3纸30箱，满足了各部门日常办公打印、复印需求；各部门临时物资申请项目共完成16项，根据各部门实际需求，保障临时性物资供应，确保工作顺利进行；采购文件评审项目，为落实巡视整改同时强化学校采购管理，截至目前本年度共完成采购文件评审32项，通过采购文件评审工作，确保文件中设置的资格、技术、商务条件与实际需求相适应，保障各类市场主体平等参与学校采购活动。</w:t>
      </w:r>
    </w:p>
    <w:p>
      <w:pPr>
        <w:spacing w:line="560" w:lineRule="exact"/>
        <w:ind w:firstLine="643"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（四）学生创新发展专项。</w:t>
      </w:r>
      <w:r>
        <w:rPr>
          <w:rFonts w:hint="eastAsia" w:ascii="仿宋_GB2312" w:hAnsi="Times New Roman" w:eastAsia="仿宋_GB2312" w:cs="Times New Roman"/>
          <w:color w:val="000000" w:themeColor="text1"/>
          <w:sz w:val="32"/>
          <w:szCs w:val="32"/>
          <w14:textFill>
            <w14:solidFill>
              <w14:schemeClr w14:val="tx1"/>
            </w14:solidFill>
          </w14:textFill>
        </w:rPr>
        <w:t>该专项主要包括第二课堂建设、基层团组织建设、社会实践与创新创业三大板块。第二课堂建设结合重大节日开展文艺晚会、才艺秀，举办海洋文化节活动，包括海洋日主题宣传、海洋知识进校园、校级海洋知识竞赛、海洋文创产品设计等，并选送优秀选手参加更高级别赛事。推进学生社团建设，提升社团活动质量和数量。开展常态化志愿服务活动，涵盖基地建设、社区服务、关爱行动、环保活动、文明城市创建、教育服务、少数民族运动会、国际马拉松等大型赛会服务等；基层团组织建设组织专职团干政治理论培训、交流学习；开展团支部活动；实施共青团“青年马克思主义者培养工程”，举办团干培训和大学生骨干培训班等。邀请优秀青年及校友进行宣讲、经验交流。开展网络宣传和微信、微博等新媒体平台运营推广工作，研发网络文化产品；大学生创新创业与社会实践组织开展大学生创新创业与“科技、文化、卫生”三下乡暑期社会实践活动及其他各类专项社会实践活动。结合学术科技创新竞赛，举办“挑战杯”“中国国际大学生创新大赛”“创青春”等校级赛事，并选送优秀作品参加省级、国家级比赛。开展第二届科技文化节活动。截至2024年12月31日，项目实施成果显著。共开展校园文化活动133项，主题教育实践专题活动2080次，主题团日活动3162次，主题宣讲77场，开展团支书培训班、团学青干部培训班、工作经验交流会等活动58次，累计培养青年政治骨干1600余人；拍摄视频18部；组织校级社会实践团队67支；参与科技创新活动学生人数5000余人；团支部与社区、村庄、团支部对接签约数量可观；选派大量志愿者服务全国少数民族传统体育运动会。项目实施进度和质量均达到预期要求，效率较高。校园文化活动丰富多样，有效促进了毕业生学社衔接工作，完成率达99.9%，学生会组织深化改革工作100%落实。志愿服务工作成果突出，参与人次达12498名，总志愿服务时长29653.56小时，团团微就业帮扶率100%。社会实践活动成效显著，10支团队入选全国大学生暑期实践展示活动。文化创作成果丰硕，在全国大学生网络文化节中荣获全国优秀原创作品奖1项，实施团员队伍建设重点项目，为推优入党提供制度保障。创新创业工作成绩优异，多个社团荣获全国高校“活力社团”称号，在“挑战杯”竞赛中获奖成绩位居海南省前列。</w:t>
      </w:r>
    </w:p>
    <w:p>
      <w:pPr>
        <w:spacing w:line="560" w:lineRule="exact"/>
        <w:ind w:firstLine="643"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（五）学科、硕士学位点建设。</w:t>
      </w:r>
      <w:r>
        <w:rPr>
          <w:rFonts w:hint="eastAsia" w:ascii="仿宋_GB2312" w:hAnsi="Times New Roman" w:eastAsia="仿宋_GB2312" w:cs="Times New Roman"/>
          <w:color w:val="000000" w:themeColor="text1"/>
          <w:sz w:val="32"/>
          <w:szCs w:val="32"/>
          <w14:textFill>
            <w14:solidFill>
              <w14:schemeClr w14:val="tx1"/>
            </w14:solidFill>
          </w14:textFill>
        </w:rPr>
        <w:t>学位点的建设包括学科特色凝练、人才培养方案的论证、课程与教学的建设、科学研究、学术交流、支撑条件建设等。组织博士学位授予单位和博士、硕士学位授权点申报，新增5个硕士学位授权点，研究生教育基本覆盖所有学院；完成海洋科学、工商管理学、水产学、民族学4个重点学科的中期考核工作；新增航海技术、轮机工程2个海洋类专业；新建现代航运管理、海洋历史文化2个微专业；“现代航运产业特色专业群”获批海南省首批产教融合特色专业群立项建设；立项建设12门校级一流本科课程、2门虚拟仿真实验课程、110门知识图谱课程，8门课程获批海南省第三批一流本科课程；立项建设5本应用型特色教材。通过该项目的实施，使得学校在教学内容、实验条件、教学水平等方面得到全面提升，是学校提高办学水平和办学层次的重要方式。</w:t>
      </w:r>
    </w:p>
    <w:p>
      <w:pPr>
        <w:spacing w:line="560" w:lineRule="exact"/>
        <w:ind w:firstLine="643"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（六）教学业务专项。</w:t>
      </w:r>
      <w:r>
        <w:rPr>
          <w:rFonts w:hint="eastAsia" w:ascii="仿宋_GB2312" w:hAnsi="Times New Roman" w:eastAsia="仿宋_GB2312" w:cs="Times New Roman"/>
          <w:color w:val="000000" w:themeColor="text1"/>
          <w:sz w:val="32"/>
          <w:szCs w:val="32"/>
          <w14:textFill>
            <w14:solidFill>
              <w14:schemeClr w14:val="tx1"/>
            </w14:solidFill>
          </w14:textFill>
        </w:rPr>
        <w:t>该专项主要包括微专业、与行业企业共建课程资源库、真实项目案例库和虚拟仿真实验课程项目、海南省高等学校教育教学改革研究项目、2024年课程思政示范项目、校级精品在线开放课程建设、2024年校级教材建设项目等项目。微专业着力于有效弥补大学专业划分过细、口径过窄及培养周期过长等问题，提升专业培养与就业职业发展需求之间的匹配度，课程设置一般具有高阶性、创新性、挑战度，是学校基于学科专业综合优势，主动适应新技术、新业态、新模式、新产业的需求。与行业企业共建课程资源库、真实项目案例库和虚拟仿真实验课程项目，建设了行业企业课程资源库项目10项、真实项目案例库6项、虚拟仿真实验课程项目2项，进一步深化产教融合、推进校企合作，实现以课程建设为抓手，切实提高教育教学质量，培养适应社会发展和企业需要的高素质应用型人才的目标，提高毕业生质量，使毕业生更能适应企业的需求。2024年学校立项校级教育教学改革研究项目27个，该项目完成质量良好，发表论文14篇，撰写报告3篇，专著1部，圆满完成本项目年度建设任务，有利于服务国家教育方针政策，有利于提高我校教师课堂教学改革研究水平，又有利于促进我校人才培养。2024年课程思政示范项目共产出28门课程思政示范课程、15个课程思政示范案例。通过“课程思政”示范项目建设，全面提升教师育人意识，强化教师教书育人主体责任，深度挖掘各课程的思想政治教育元素和所承载的思想政治教育功能，推动广大教师自觉地把知识传授、能力培养与理想信念、价值理念、道德观念教育有机结合，进一步完善课程育人机制，使思想政治教育融入人才培养全过程，构建课程育人新体系。校级精品在线开放课程建设主要用于2024年校级精品在线开放课程7门课程建设与申报技巧咨询服务、课程设计、教学（课堂或实践）实录视频拍摄、运行推广服务，项目获海南省首批高校外语专业《习近平谈治国理政》多语种版本“三进”示范课程1门、校级精品在线开放课程6门。2024年度建设精品在线开放课程，促进现代信息技术和教育教学深度融合，使得优秀的课程资源得到共享，鼓励教师应用翻转课堂、混合式教学等教学模式，打造在线课程与本校课堂教学相融合的混合式“金课”，助推课堂教学改革并起到示范带动作用。2024年校级教材建设项目资助了1本数字教材，4本数字、纸质教材，通过申报、评审、立项、结项出版，进一步提升我校教材建设的质量和水平，促进我校最新教学、科研成果进教材，以期建设一批具有我校特色、体现海洋科学发展方向、服务海南自贸港经济和促进应用型人才培养特色体系建设的高水平教材。</w:t>
      </w:r>
    </w:p>
    <w:p>
      <w:pPr>
        <w:spacing w:line="560" w:lineRule="exact"/>
        <w:ind w:firstLine="640" w:firstLineChars="200"/>
        <w:rPr>
          <w:rFonts w:hint="eastAsia" w:ascii="黑体" w:hAnsi="黑体" w:eastAsia="黑体" w:cs="Times New Roman"/>
          <w:color w:val="000000" w:themeColor="text1"/>
          <w:sz w:val="32"/>
          <w:szCs w:val="32"/>
          <w14:textFill>
            <w14:solidFill>
              <w14:schemeClr w14:val="tx1"/>
            </w14:solidFill>
          </w14:textFill>
        </w:rPr>
      </w:pPr>
      <w:r>
        <w:rPr>
          <w:rFonts w:ascii="黑体" w:hAnsi="黑体" w:eastAsia="黑体" w:cs="Times New Roman"/>
          <w:color w:val="000000" w:themeColor="text1"/>
          <w:sz w:val="32"/>
          <w:szCs w:val="32"/>
          <w14:textFill>
            <w14:solidFill>
              <w14:schemeClr w14:val="tx1"/>
            </w14:solidFill>
          </w14:textFill>
        </w:rPr>
        <w:t>三、主要管理措施</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学校出台了《海南热带海洋学院专项资金管理办法》（热海大办〔2020〕126号）来规范资金的管理，保证专项项目顺利实施，确保专款专用，计划财务处制定了《关于加快预算执行支出进度的管理规定》（计财〔2016〕8号）来提高专项资金的使用效率。同时，为了顺利实施、加快支出进度，把支持地方高校改革发展项目进一步细化，明确专项资金建设的具体项目的负责人，并制定项目推进计划书，明确落实完成项目的时间节点和责任部门。科技处（人文社科处）制定了《海南热带海洋学院人才科研启动项目管理办法》（热海大办〔2024〕5号），为人才科研启动项目的管理提供了制度保障，严格控制成本，厉行节约，使项目经费充分地得到有效利用；学校图书馆严格按照《海南省级政府采购管理实施办法》《海南热带海洋学院仪器设备采购管理办法（试行）》《海南热带海洋学院图书馆中外文图书采访原则、细则》等管理办法，确保资金的合理使用和监管；人事处根据《海南热带海洋学院高层次人才引进与管理办法》与《海南热带海洋学院柔性引进人才办法》，围绕人才引进等开展人才的各项服务；后勤处按照《海南热带海洋学院后勤维修改造项目管理实施细则（试行）》《海南热带海洋学院工程（修缮）项目采购管理实施细则（试行）》《海南热带海洋学院货物和服务采购管理实施细则（试行）》等实施，项目资金的审批、拨付按照《海南热带海洋学院建设工程项目审计实施暂行办法》《海南热带海洋学院公共工程项目廉洁预警谈话工作规则（试行）》《海南热带海洋学院合同管理办法（试行）》《海南热带海洋学院经费支出审批办法（修订）》《海南热带海洋学院财务报账实施细则（试行）》等相关制度执行；教务处制定下发《海南热带海洋学院教务处关于开展2024年行业企业课程资源库、真实项目案例库和虚拟仿真实验课程项目申报工作的通知》（热海大教〔2024〕36号）《海南热带海洋学院课程思政建设工作方案》《海南热带海洋学院教务处关于公布2024年校级课程思政示范项目立项名单的通知》（热海大教〔2024〕39号）等通知，严格按照《教育教学改革研究项目管理办法》《海南热带海洋学院教学建设与改革项目经费使用管理办法（试行）》《海南热带海洋学院经费支出审批办法（试行）》等有关规定，合理安排，规范使用专项资金。</w:t>
      </w:r>
    </w:p>
    <w:p>
      <w:pPr>
        <w:spacing w:line="560" w:lineRule="exact"/>
        <w:ind w:firstLine="640" w:firstLineChars="200"/>
        <w:rPr>
          <w:rFonts w:hint="eastAsia" w:ascii="黑体" w:hAnsi="黑体" w:eastAsia="黑体" w:cs="Times New Roman"/>
          <w:color w:val="000000" w:themeColor="text1"/>
          <w:sz w:val="32"/>
          <w:szCs w:val="32"/>
          <w14:textFill>
            <w14:solidFill>
              <w14:schemeClr w14:val="tx1"/>
            </w14:solidFill>
          </w14:textFill>
        </w:rPr>
      </w:pPr>
      <w:r>
        <w:rPr>
          <w:rFonts w:ascii="黑体" w:hAnsi="黑体" w:eastAsia="黑体" w:cs="Times New Roman"/>
          <w:color w:val="000000" w:themeColor="text1"/>
          <w:sz w:val="32"/>
          <w:szCs w:val="32"/>
          <w14:textFill>
            <w14:solidFill>
              <w14:schemeClr w14:val="tx1"/>
            </w14:solidFill>
          </w14:textFill>
        </w:rPr>
        <w:t>四、问题分析及对策</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我校对2024年支持地方高校改革发展项目资金按照财科教〔2016〕72号文件的精神，做到科学规划、合理安排，权责清晰、规范管理，专款专用、注重绩效，各项工作有章可循，资金使用规范、严格、高效。我校2024年支持地方高校改革发展项目按计划推进，进展顺利，基本完成年度绩效目标。办学条件得到改善、办学质量得到提升，人才培养、科学研究、社会服务、文化传承等各方面水平不断提高，更好地服务了地方经济社会发展。但在资金使用管理过程中，仍然存在一些问题，有待改进，例如中央财政支持地方高校改革发展资金到校经费较少，导致经费使用较为分散，不能形成规模效应；通过政府采购购置设备项目在招标、实施、验收等环节周期较长，影响了资金的结算效率；部分项目前期论证工作不够充分，导致资金到位后不能立即开展相关工作，影响了项目资金序时进度要求。</w:t>
      </w:r>
    </w:p>
    <w:p>
      <w:pPr>
        <w:spacing w:line="56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针对以上问题，我校已正在筹备制定建立健全项目库、规范项目预算管理的工作，进一步做好学校项目储备工作，将前期工作准备充分的项目纳入学校项目库申请预算，并按照轻重缓急排序；学校严格审核，将完成可行性研究论证、制定具体实施计划等前期工作且达到条件的纳入学校项目库，坚持项目入库作为预算安排的前提条件，安排预算时从学校项目库中选择符合条件的项目，未纳入的项目一律不安排预算，提升预算管理水平，加快预算资金支出进度。今后学校将克服不足，管好资金、用好资金，使其发挥出最大的效益。</w:t>
      </w:r>
    </w:p>
    <w:p>
      <w:pPr>
        <w:spacing w:line="560" w:lineRule="exact"/>
        <w:ind w:firstLine="420" w:firstLineChars="200"/>
        <w:rPr>
          <w:rFonts w:ascii="Times New Roman" w:hAnsi="Times New Roman" w:eastAsia="仿宋_GB2312" w:cs="Times New Roman"/>
          <w:color w:val="000000" w:themeColor="text1"/>
          <w14:textFill>
            <w14:solidFill>
              <w14:schemeClr w14:val="tx1"/>
            </w14:solidFill>
          </w14:textFill>
        </w:rPr>
      </w:pPr>
    </w:p>
    <w:sectPr>
      <w:footerReference r:id="rId3" w:type="default"/>
      <w:footerReference r:id="rId4" w:type="even"/>
      <w:pgSz w:w="11906" w:h="16838"/>
      <w:pgMar w:top="1814" w:right="1474" w:bottom="1701" w:left="1588" w:header="851" w:footer="85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3687902"/>
    </w:sdtPr>
    <w:sdtEndPr>
      <w:rPr>
        <w:rFonts w:asciiTheme="minorEastAsia" w:hAnsiTheme="minorEastAsia"/>
        <w:sz w:val="28"/>
        <w:szCs w:val="28"/>
      </w:rPr>
    </w:sdtEndPr>
    <w:sdtContent>
      <w:p>
        <w:pPr>
          <w:pStyle w:val="4"/>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2</w:t>
        </w:r>
        <w:r>
          <w:rPr>
            <w:rFonts w:asciiTheme="minorEastAsia" w:hAnsi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2006500"/>
    </w:sdtPr>
    <w:sdtEndPr>
      <w:rPr>
        <w:rFonts w:asciiTheme="minorEastAsia" w:hAnsiTheme="minorEastAsia"/>
        <w:sz w:val="28"/>
        <w:szCs w:val="28"/>
        <w:lang w:val="zh-CN"/>
      </w:rPr>
    </w:sdtEndPr>
    <w:sdtContent>
      <w:p>
        <w:pPr>
          <w:pStyle w:val="4"/>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w:t>
        </w:r>
        <w:r>
          <w:rPr>
            <w:rFonts w:asciiTheme="minorEastAsia" w:hAnsiTheme="minorEastAsia"/>
            <w:sz w:val="28"/>
            <w:szCs w:val="28"/>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7D8122"/>
    <w:multiLevelType w:val="singleLevel"/>
    <w:tmpl w:val="DE7D8122"/>
    <w:lvl w:ilvl="0" w:tentative="0">
      <w:start w:val="1"/>
      <w:numFmt w:val="chineseCounting"/>
      <w:suff w:val="nothing"/>
      <w:lvlText w:val="（%1）"/>
      <w:lvlJc w:val="left"/>
      <w:rPr>
        <w:rFonts w:hint="eastAsia"/>
        <w:b/>
        <w:bCs/>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2MmFiOGI0ZDIyOTRlMDY4MTUyZWYxZjM4YjI2OWQifQ=="/>
  </w:docVars>
  <w:rsids>
    <w:rsidRoot w:val="2D5E1ED8"/>
    <w:rsid w:val="00055AE9"/>
    <w:rsid w:val="00055D33"/>
    <w:rsid w:val="000740BB"/>
    <w:rsid w:val="00092E88"/>
    <w:rsid w:val="000A3EBC"/>
    <w:rsid w:val="000B6150"/>
    <w:rsid w:val="00103D99"/>
    <w:rsid w:val="0012280A"/>
    <w:rsid w:val="001F492D"/>
    <w:rsid w:val="00201AC2"/>
    <w:rsid w:val="002C0613"/>
    <w:rsid w:val="00335D43"/>
    <w:rsid w:val="00360873"/>
    <w:rsid w:val="003F34E3"/>
    <w:rsid w:val="004005FB"/>
    <w:rsid w:val="00427C7E"/>
    <w:rsid w:val="004A03E7"/>
    <w:rsid w:val="004A6F5F"/>
    <w:rsid w:val="004F1EBA"/>
    <w:rsid w:val="004F412D"/>
    <w:rsid w:val="00513BCE"/>
    <w:rsid w:val="005600DF"/>
    <w:rsid w:val="005D284B"/>
    <w:rsid w:val="005E06F9"/>
    <w:rsid w:val="005E4F9A"/>
    <w:rsid w:val="005F2171"/>
    <w:rsid w:val="00625FB4"/>
    <w:rsid w:val="00660CE6"/>
    <w:rsid w:val="00680CDD"/>
    <w:rsid w:val="00753F99"/>
    <w:rsid w:val="00772915"/>
    <w:rsid w:val="0078772B"/>
    <w:rsid w:val="0081001F"/>
    <w:rsid w:val="008121FD"/>
    <w:rsid w:val="00851172"/>
    <w:rsid w:val="00890A92"/>
    <w:rsid w:val="008F5DE0"/>
    <w:rsid w:val="00914731"/>
    <w:rsid w:val="009168D9"/>
    <w:rsid w:val="009A1948"/>
    <w:rsid w:val="009B1E72"/>
    <w:rsid w:val="00A07CFC"/>
    <w:rsid w:val="00A439BF"/>
    <w:rsid w:val="00A71F1C"/>
    <w:rsid w:val="00AC2020"/>
    <w:rsid w:val="00B73483"/>
    <w:rsid w:val="00C059FA"/>
    <w:rsid w:val="00C47FCC"/>
    <w:rsid w:val="00C56FCA"/>
    <w:rsid w:val="00C74881"/>
    <w:rsid w:val="00C968DB"/>
    <w:rsid w:val="00CE1FFC"/>
    <w:rsid w:val="00D110A7"/>
    <w:rsid w:val="00D23DB3"/>
    <w:rsid w:val="00DE5FAE"/>
    <w:rsid w:val="00DF05D8"/>
    <w:rsid w:val="00E267E4"/>
    <w:rsid w:val="00E90955"/>
    <w:rsid w:val="00EA6B4D"/>
    <w:rsid w:val="00ED3EE3"/>
    <w:rsid w:val="00EE6A4C"/>
    <w:rsid w:val="00F31B81"/>
    <w:rsid w:val="00F337FD"/>
    <w:rsid w:val="00F6443D"/>
    <w:rsid w:val="00F81EA2"/>
    <w:rsid w:val="02253FB5"/>
    <w:rsid w:val="02D340C3"/>
    <w:rsid w:val="04D93F73"/>
    <w:rsid w:val="08C23F00"/>
    <w:rsid w:val="09045AFA"/>
    <w:rsid w:val="0B6B7F22"/>
    <w:rsid w:val="0BB21006"/>
    <w:rsid w:val="0EF511DD"/>
    <w:rsid w:val="105274B4"/>
    <w:rsid w:val="1066466B"/>
    <w:rsid w:val="11A74CD6"/>
    <w:rsid w:val="11B95BA7"/>
    <w:rsid w:val="11BD1145"/>
    <w:rsid w:val="13AC38D7"/>
    <w:rsid w:val="16604A80"/>
    <w:rsid w:val="16A41EB3"/>
    <w:rsid w:val="19822490"/>
    <w:rsid w:val="1BD15EBF"/>
    <w:rsid w:val="1C3C6537"/>
    <w:rsid w:val="1C9100D5"/>
    <w:rsid w:val="1D2D3CA1"/>
    <w:rsid w:val="20020FF7"/>
    <w:rsid w:val="20B271C1"/>
    <w:rsid w:val="216B72E4"/>
    <w:rsid w:val="26945821"/>
    <w:rsid w:val="27967D64"/>
    <w:rsid w:val="281044C8"/>
    <w:rsid w:val="28873067"/>
    <w:rsid w:val="28E6101F"/>
    <w:rsid w:val="2A9638DF"/>
    <w:rsid w:val="2D5E1ED8"/>
    <w:rsid w:val="2EB77BCB"/>
    <w:rsid w:val="2F0C3060"/>
    <w:rsid w:val="31A2082E"/>
    <w:rsid w:val="35BF2A1C"/>
    <w:rsid w:val="37AE1CEE"/>
    <w:rsid w:val="38E923C8"/>
    <w:rsid w:val="39227CD6"/>
    <w:rsid w:val="3B900D6A"/>
    <w:rsid w:val="3C804273"/>
    <w:rsid w:val="3F7E5A74"/>
    <w:rsid w:val="40F3406E"/>
    <w:rsid w:val="454B5A55"/>
    <w:rsid w:val="473955B9"/>
    <w:rsid w:val="47AC5A1A"/>
    <w:rsid w:val="4BCA248D"/>
    <w:rsid w:val="501F2521"/>
    <w:rsid w:val="5180797D"/>
    <w:rsid w:val="51A451BA"/>
    <w:rsid w:val="52642C1B"/>
    <w:rsid w:val="536452C7"/>
    <w:rsid w:val="541A36BB"/>
    <w:rsid w:val="550C37A2"/>
    <w:rsid w:val="56D115B6"/>
    <w:rsid w:val="584444FC"/>
    <w:rsid w:val="58E346DD"/>
    <w:rsid w:val="598A7CE8"/>
    <w:rsid w:val="5BC87909"/>
    <w:rsid w:val="5F4A0175"/>
    <w:rsid w:val="605B0693"/>
    <w:rsid w:val="60776FD9"/>
    <w:rsid w:val="66B349A3"/>
    <w:rsid w:val="66F600CA"/>
    <w:rsid w:val="68AB3DDE"/>
    <w:rsid w:val="693D4BD8"/>
    <w:rsid w:val="69DA5FCF"/>
    <w:rsid w:val="69FA5D61"/>
    <w:rsid w:val="6B1D28E0"/>
    <w:rsid w:val="6B2C1493"/>
    <w:rsid w:val="6F377CCF"/>
    <w:rsid w:val="70085EE4"/>
    <w:rsid w:val="7095633A"/>
    <w:rsid w:val="70B430AC"/>
    <w:rsid w:val="72203E1A"/>
    <w:rsid w:val="726B64F7"/>
    <w:rsid w:val="72F43C5E"/>
    <w:rsid w:val="73565012"/>
    <w:rsid w:val="73991672"/>
    <w:rsid w:val="749A6673"/>
    <w:rsid w:val="788214B7"/>
    <w:rsid w:val="7A8B26BE"/>
    <w:rsid w:val="7FA74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annotation text"/>
    <w:basedOn w:val="1"/>
    <w:link w:val="14"/>
    <w:qFormat/>
    <w:uiPriority w:val="0"/>
    <w:pPr>
      <w:jc w:val="left"/>
    </w:p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3"/>
    <w:next w:val="3"/>
    <w:link w:val="15"/>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paragraph" w:customStyle="1" w:styleId="11">
    <w:name w:val="EndnoteText"/>
    <w:basedOn w:val="1"/>
    <w:qFormat/>
    <w:uiPriority w:val="0"/>
  </w:style>
  <w:style w:type="character" w:customStyle="1" w:styleId="12">
    <w:name w:val="页眉 字符"/>
    <w:basedOn w:val="9"/>
    <w:link w:val="5"/>
    <w:qFormat/>
    <w:uiPriority w:val="0"/>
    <w:rPr>
      <w:rFonts w:asciiTheme="minorHAnsi" w:hAnsiTheme="minorHAnsi" w:eastAsiaTheme="minorEastAsia" w:cstheme="minorBidi"/>
      <w:kern w:val="2"/>
      <w:sz w:val="18"/>
      <w:szCs w:val="18"/>
    </w:rPr>
  </w:style>
  <w:style w:type="character" w:customStyle="1" w:styleId="13">
    <w:name w:val="页脚 字符"/>
    <w:basedOn w:val="9"/>
    <w:link w:val="4"/>
    <w:qFormat/>
    <w:uiPriority w:val="99"/>
    <w:rPr>
      <w:rFonts w:asciiTheme="minorHAnsi" w:hAnsiTheme="minorHAnsi" w:eastAsiaTheme="minorEastAsia" w:cstheme="minorBidi"/>
      <w:kern w:val="2"/>
      <w:sz w:val="18"/>
      <w:szCs w:val="18"/>
    </w:rPr>
  </w:style>
  <w:style w:type="character" w:customStyle="1" w:styleId="14">
    <w:name w:val="批注文字 字符"/>
    <w:basedOn w:val="9"/>
    <w:link w:val="3"/>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6"/>
    <w:qFormat/>
    <w:uiPriority w:val="0"/>
    <w:rPr>
      <w:rFonts w:asciiTheme="minorHAnsi" w:hAnsiTheme="minorHAnsi" w:eastAsiaTheme="minorEastAsia" w:cstheme="minorBidi"/>
      <w:b/>
      <w:bCs/>
      <w:kern w:val="2"/>
      <w:sz w:val="21"/>
      <w:szCs w:val="24"/>
    </w:rPr>
  </w:style>
  <w:style w:type="character" w:customStyle="1" w:styleId="16">
    <w:name w:val="font41"/>
    <w:basedOn w:val="9"/>
    <w:qFormat/>
    <w:uiPriority w:val="0"/>
    <w:rPr>
      <w:rFonts w:hint="eastAsia" w:ascii="宋体" w:hAnsi="宋体" w:eastAsia="宋体" w:cs="宋体"/>
      <w:b/>
      <w:bCs/>
      <w:color w:val="000000"/>
      <w:sz w:val="20"/>
      <w:szCs w:val="20"/>
      <w:u w:val="none"/>
    </w:rPr>
  </w:style>
  <w:style w:type="character" w:customStyle="1" w:styleId="17">
    <w:name w:val="font31"/>
    <w:basedOn w:val="9"/>
    <w:qFormat/>
    <w:uiPriority w:val="0"/>
    <w:rPr>
      <w:rFonts w:hint="eastAsia" w:ascii="宋体" w:hAnsi="宋体" w:eastAsia="宋体" w:cs="宋体"/>
      <w:color w:val="000000"/>
      <w:sz w:val="20"/>
      <w:szCs w:val="20"/>
      <w:u w:val="none"/>
    </w:rPr>
  </w:style>
  <w:style w:type="paragraph" w:customStyle="1" w:styleId="18">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A03BE7-F72C-48DA-90C1-028C34760820}">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1602</Words>
  <Characters>9138</Characters>
  <Lines>76</Lines>
  <Paragraphs>21</Paragraphs>
  <TotalTime>133</TotalTime>
  <ScaleCrop>false</ScaleCrop>
  <LinksUpToDate>false</LinksUpToDate>
  <CharactersWithSpaces>10719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2023-02-15T03:09:00Z</dcterms:created>
  <dc:creator>Lenovo</dc:creator>
  <cp:lastModifiedBy>HUAWEI</cp:lastModifiedBy>
  <cp:lastPrinted>2025-02-14T07:37:00Z</cp:lastPrinted>
  <dcterms:modified xsi:type="dcterms:W3CDTF">2025-02-17T07:54:54Z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B8C16A87F0114B8A9A05E667B04D2356</vt:lpwstr>
  </property>
  <property fmtid="{D5CDD505-2E9C-101B-9397-08002B2CF9AE}" pid="4" name="KSOTemplateDocerSaveRecord">
    <vt:lpwstr>eyJoZGlkIjoiOGQ5M2JhZjdkODM4ZGY3ZWViMTkzMDRjMDc2ZjM1YTciLCJ1c2VySWQiOiI0NTgyMzQ4NDEifQ==</vt:lpwstr>
  </property>
</Properties>
</file>