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ascii="宋体" w:hAnsi="宋体" w:eastAsia="宋体" w:cs="宋体"/>
          <w:b/>
          <w:bCs w:val="0"/>
          <w:sz w:val="48"/>
          <w:szCs w:val="48"/>
          <w:highlight w:val="none"/>
        </w:rPr>
      </w:pPr>
      <w:r>
        <w:rPr>
          <w:rFonts w:hint="eastAsia" w:ascii="宋体" w:hAnsi="宋体" w:eastAsia="宋体" w:cs="宋体"/>
          <w:b/>
          <w:bCs w:val="0"/>
          <w:sz w:val="48"/>
          <w:szCs w:val="48"/>
          <w:lang w:val="en-US" w:eastAsia="zh-CN"/>
        </w:rPr>
        <w:t>2023年</w:t>
      </w:r>
      <w:r>
        <w:rPr>
          <w:rFonts w:hint="eastAsia" w:ascii="宋体" w:hAnsi="宋体" w:eastAsia="宋体" w:cs="宋体"/>
          <w:b/>
          <w:bCs w:val="0"/>
          <w:sz w:val="48"/>
          <w:szCs w:val="48"/>
          <w:lang w:eastAsia="zh-CN"/>
        </w:rPr>
        <w:t>海南省财政支出项目</w:t>
      </w:r>
      <w:r>
        <w:rPr>
          <w:rFonts w:hint="eastAsia" w:ascii="宋体" w:hAnsi="宋体" w:eastAsia="宋体" w:cs="宋体"/>
          <w:b/>
          <w:bCs w:val="0"/>
          <w:sz w:val="48"/>
          <w:szCs w:val="48"/>
          <w:lang w:val="en-US" w:eastAsia="zh-CN"/>
        </w:rPr>
        <w:t>-</w:t>
      </w:r>
      <w:r>
        <w:rPr>
          <w:rFonts w:hint="eastAsia" w:ascii="宋体" w:hAnsi="宋体" w:eastAsia="宋体" w:cs="宋体"/>
          <w:b/>
          <w:bCs w:val="0"/>
          <w:sz w:val="48"/>
          <w:szCs w:val="48"/>
          <w:highlight w:val="none"/>
          <w:lang w:eastAsia="zh-CN"/>
        </w:rPr>
        <w:t>支持地方高校改革发展资金项目</w:t>
      </w:r>
      <w:r>
        <w:rPr>
          <w:rFonts w:hint="eastAsia" w:ascii="宋体" w:hAnsi="宋体" w:eastAsia="宋体" w:cs="宋体"/>
          <w:b/>
          <w:bCs w:val="0"/>
          <w:sz w:val="48"/>
          <w:szCs w:val="48"/>
          <w:highlight w:val="none"/>
        </w:rPr>
        <w:t>绩效自评报告</w:t>
      </w:r>
    </w:p>
    <w:p>
      <w:pPr>
        <w:spacing w:line="520" w:lineRule="exact"/>
        <w:rPr>
          <w:rFonts w:ascii="Times New Roman" w:hAnsi="Times New Roman" w:eastAsia="仿宋_GB2312" w:cs="Times New Roman"/>
          <w:sz w:val="32"/>
          <w:szCs w:val="32"/>
          <w:highlight w:val="none"/>
        </w:rPr>
      </w:pPr>
    </w:p>
    <w:p>
      <w:pPr>
        <w:spacing w:line="520" w:lineRule="exact"/>
        <w:ind w:firstLine="640" w:firstLineChars="200"/>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一、202</w:t>
      </w:r>
      <w:r>
        <w:rPr>
          <w:rFonts w:hint="eastAsia" w:ascii="黑体" w:hAnsi="黑体" w:eastAsia="黑体" w:cs="Times New Roman"/>
          <w:color w:val="auto"/>
          <w:sz w:val="32"/>
          <w:szCs w:val="32"/>
          <w:highlight w:val="none"/>
          <w:lang w:val="en-US" w:eastAsia="zh-CN"/>
        </w:rPr>
        <w:t>3</w:t>
      </w:r>
      <w:r>
        <w:rPr>
          <w:rFonts w:ascii="黑体" w:hAnsi="黑体" w:eastAsia="黑体" w:cs="Times New Roman"/>
          <w:color w:val="auto"/>
          <w:sz w:val="32"/>
          <w:szCs w:val="32"/>
          <w:highlight w:val="none"/>
        </w:rPr>
        <w:t>年度资金安排使用情况</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黑体" w:hAnsi="黑体" w:eastAsia="黑体" w:cs="黑体"/>
          <w:b w:val="0"/>
          <w:bCs/>
          <w:sz w:val="32"/>
          <w:szCs w:val="32"/>
          <w:highlight w:val="none"/>
          <w:lang w:eastAsia="zh-CN"/>
        </w:rPr>
      </w:pPr>
      <w:r>
        <w:rPr>
          <w:rFonts w:hint="eastAsia" w:ascii="黑体" w:hAnsi="黑体" w:eastAsia="黑体" w:cs="黑体"/>
          <w:b w:val="0"/>
          <w:bCs/>
          <w:sz w:val="32"/>
          <w:szCs w:val="32"/>
          <w:highlight w:val="none"/>
        </w:rPr>
        <w:t>一、</w:t>
      </w:r>
      <w:r>
        <w:rPr>
          <w:rFonts w:hint="eastAsia" w:ascii="黑体" w:hAnsi="黑体" w:eastAsia="黑体" w:cs="黑体"/>
          <w:b w:val="0"/>
          <w:bCs/>
          <w:sz w:val="32"/>
          <w:szCs w:val="32"/>
          <w:highlight w:val="none"/>
          <w:lang w:eastAsia="zh-CN"/>
        </w:rPr>
        <w:t>项目概况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rPr>
        <w:t>（一）</w:t>
      </w:r>
      <w:r>
        <w:rPr>
          <w:rFonts w:hint="eastAsia" w:ascii="仿宋" w:hAnsi="仿宋" w:eastAsia="仿宋" w:cs="仿宋"/>
          <w:b w:val="0"/>
          <w:bCs/>
          <w:sz w:val="32"/>
          <w:szCs w:val="32"/>
          <w:highlight w:val="none"/>
          <w:lang w:eastAsia="zh-CN"/>
        </w:rPr>
        <w:t>项目基本情况：立项情况、实施主体、项目资金及主要内容</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ascii="Times New Roman" w:hAnsi="Times New Roman" w:eastAsia="仿宋_GB2312" w:cs="Times New Roman"/>
          <w:sz w:val="32"/>
          <w:szCs w:val="32"/>
        </w:rPr>
        <w:t>根据《财政部</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教育部关于印发</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支持地方高校改革发展资金管理办法</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的通知》（财科教〔2016〕72号）等相关文件精神，遵循“中央引导、省级统筹，科学规划、合理安排，权责清晰、规范管理，专款专用、注重绩效”的原则，</w:t>
      </w:r>
      <w:r>
        <w:rPr>
          <w:rFonts w:hint="eastAsia" w:ascii="Times New Roman" w:hAnsi="Times New Roman" w:eastAsia="仿宋_GB2312" w:cs="Times New Roman"/>
          <w:sz w:val="32"/>
          <w:szCs w:val="32"/>
        </w:rPr>
        <w:t>我</w:t>
      </w:r>
      <w:r>
        <w:rPr>
          <w:rFonts w:ascii="Times New Roman" w:hAnsi="Times New Roman" w:eastAsia="仿宋_GB2312" w:cs="Times New Roman"/>
          <w:sz w:val="32"/>
          <w:szCs w:val="32"/>
        </w:rPr>
        <w:t>校结合自身发展规划及需求，管好用好专项资金，充分发挥专项资金的使用效益。在贵厅的大力支持和关心帮助下，202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年共安排我校中央财政支持地方高校</w:t>
      </w:r>
      <w:r>
        <w:rPr>
          <w:rFonts w:hint="eastAsia" w:ascii="Times New Roman" w:hAnsi="Times New Roman" w:eastAsia="仿宋_GB2312" w:cs="Times New Roman"/>
          <w:sz w:val="32"/>
          <w:szCs w:val="32"/>
        </w:rPr>
        <w:t>改革</w:t>
      </w:r>
      <w:r>
        <w:rPr>
          <w:rFonts w:ascii="Times New Roman" w:hAnsi="Times New Roman" w:eastAsia="仿宋_GB2312" w:cs="Times New Roman"/>
          <w:sz w:val="32"/>
          <w:szCs w:val="32"/>
        </w:rPr>
        <w:t>发展</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资金5,</w:t>
      </w:r>
      <w:r>
        <w:rPr>
          <w:rFonts w:hint="eastAsia" w:ascii="Times New Roman" w:hAnsi="Times New Roman" w:eastAsia="仿宋_GB2312" w:cs="Times New Roman"/>
          <w:sz w:val="32"/>
          <w:szCs w:val="32"/>
        </w:rPr>
        <w:t>829</w:t>
      </w:r>
      <w:r>
        <w:rPr>
          <w:rFonts w:ascii="Times New Roman" w:hAnsi="Times New Roman" w:eastAsia="仿宋_GB2312" w:cs="Times New Roman"/>
          <w:sz w:val="32"/>
          <w:szCs w:val="32"/>
        </w:rPr>
        <w:t>万元</w:t>
      </w:r>
      <w:r>
        <w:rPr>
          <w:rFonts w:hint="eastAsia" w:ascii="仿宋" w:hAnsi="仿宋" w:eastAsia="仿宋" w:cs="仿宋"/>
          <w:b w:val="0"/>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lang w:eastAsia="zh-CN"/>
        </w:rPr>
      </w:pPr>
      <w:r>
        <w:rPr>
          <w:rFonts w:ascii="黑体" w:hAnsi="黑体" w:eastAsia="黑体" w:cs="Times New Roman"/>
          <w:sz w:val="32"/>
          <w:szCs w:val="32"/>
        </w:rPr>
        <w:t>202</w:t>
      </w:r>
      <w:r>
        <w:rPr>
          <w:rFonts w:hint="eastAsia" w:ascii="黑体" w:hAnsi="黑体" w:eastAsia="黑体" w:cs="Times New Roman"/>
          <w:sz w:val="32"/>
          <w:szCs w:val="32"/>
        </w:rPr>
        <w:t>3</w:t>
      </w:r>
      <w:r>
        <w:rPr>
          <w:rFonts w:ascii="Times New Roman" w:hAnsi="Times New Roman" w:eastAsia="仿宋_GB2312" w:cs="Times New Roman"/>
          <w:sz w:val="32"/>
          <w:szCs w:val="32"/>
        </w:rPr>
        <w:t>年支持地方高校改革发展项目资金主要用于以下几项内容：1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科研平台和专业能力实践基地建设项目，安排资金</w:t>
      </w:r>
      <w:r>
        <w:rPr>
          <w:rFonts w:hint="eastAsia" w:ascii="黑体" w:hAnsi="黑体" w:eastAsia="黑体" w:cs="Times New Roman"/>
          <w:sz w:val="32"/>
          <w:szCs w:val="32"/>
          <w:highlight w:val="none"/>
        </w:rPr>
        <w:t>692.93</w:t>
      </w:r>
      <w:r>
        <w:rPr>
          <w:rFonts w:ascii="Times New Roman" w:hAnsi="Times New Roman" w:eastAsia="仿宋_GB2312" w:cs="Times New Roman"/>
          <w:sz w:val="32"/>
          <w:szCs w:val="32"/>
          <w:highlight w:val="none"/>
        </w:rPr>
        <w:t>万元；2</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人才培养和创新团队建设项目，安排资金</w:t>
      </w:r>
      <w:r>
        <w:rPr>
          <w:rFonts w:hint="eastAsia" w:ascii="黑体" w:hAnsi="黑体" w:eastAsia="黑体" w:cs="Times New Roman"/>
          <w:sz w:val="32"/>
          <w:szCs w:val="32"/>
          <w:highlight w:val="none"/>
        </w:rPr>
        <w:t>977</w:t>
      </w:r>
      <w:r>
        <w:rPr>
          <w:rFonts w:ascii="Times New Roman" w:hAnsi="Times New Roman" w:eastAsia="仿宋_GB2312" w:cs="Times New Roman"/>
          <w:sz w:val="32"/>
          <w:szCs w:val="32"/>
          <w:highlight w:val="none"/>
        </w:rPr>
        <w:t>万元；3</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公共服务体系建设项目，安排资金</w:t>
      </w:r>
      <w:r>
        <w:rPr>
          <w:rFonts w:hint="eastAsia" w:ascii="黑体" w:hAnsi="黑体" w:eastAsia="黑体" w:cs="Times New Roman"/>
          <w:sz w:val="32"/>
          <w:szCs w:val="32"/>
          <w:highlight w:val="none"/>
        </w:rPr>
        <w:t>2,829</w:t>
      </w:r>
      <w:r>
        <w:rPr>
          <w:rFonts w:ascii="Times New Roman" w:hAnsi="Times New Roman" w:eastAsia="仿宋_GB2312" w:cs="Times New Roman"/>
          <w:sz w:val="32"/>
          <w:szCs w:val="32"/>
          <w:highlight w:val="none"/>
        </w:rPr>
        <w:t>万元；4</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学生创新发展专项，安排资金</w:t>
      </w:r>
      <w:r>
        <w:rPr>
          <w:rFonts w:hint="eastAsia" w:ascii="黑体" w:hAnsi="黑体" w:eastAsia="黑体" w:cs="Times New Roman"/>
          <w:sz w:val="32"/>
          <w:szCs w:val="32"/>
          <w:highlight w:val="none"/>
        </w:rPr>
        <w:t>328.3</w:t>
      </w:r>
      <w:r>
        <w:rPr>
          <w:rFonts w:ascii="Times New Roman" w:hAnsi="Times New Roman" w:eastAsia="仿宋_GB2312" w:cs="Times New Roman"/>
          <w:sz w:val="32"/>
          <w:szCs w:val="32"/>
          <w:highlight w:val="none"/>
        </w:rPr>
        <w:t>万元；5</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学科、硕士学位点建设，安排资金</w:t>
      </w:r>
      <w:r>
        <w:rPr>
          <w:rFonts w:hint="eastAsia" w:ascii="黑体" w:hAnsi="黑体" w:eastAsia="黑体" w:cs="Times New Roman"/>
          <w:sz w:val="32"/>
          <w:szCs w:val="32"/>
          <w:highlight w:val="none"/>
        </w:rPr>
        <w:t>102.7</w:t>
      </w:r>
      <w:r>
        <w:rPr>
          <w:rFonts w:ascii="Times New Roman" w:hAnsi="Times New Roman" w:eastAsia="仿宋_GB2312" w:cs="Times New Roman"/>
          <w:sz w:val="32"/>
          <w:szCs w:val="32"/>
          <w:highlight w:val="none"/>
        </w:rPr>
        <w:t>万元；6、教学业务专项，安排资金</w:t>
      </w:r>
      <w:r>
        <w:rPr>
          <w:rFonts w:hint="eastAsia" w:ascii="黑体" w:hAnsi="黑体" w:eastAsia="黑体" w:cs="Times New Roman"/>
          <w:sz w:val="32"/>
          <w:szCs w:val="32"/>
          <w:highlight w:val="none"/>
        </w:rPr>
        <w:t>899.07</w:t>
      </w:r>
      <w:r>
        <w:rPr>
          <w:rFonts w:ascii="Times New Roman" w:hAnsi="Times New Roman" w:eastAsia="仿宋_GB2312" w:cs="Times New Roman"/>
          <w:sz w:val="32"/>
          <w:szCs w:val="32"/>
          <w:highlight w:val="none"/>
        </w:rPr>
        <w:t>万元</w:t>
      </w:r>
      <w:r>
        <w:rPr>
          <w:rFonts w:hint="eastAsia" w:ascii="仿宋" w:hAnsi="仿宋" w:eastAsia="仿宋" w:cs="仿宋"/>
          <w:b w:val="0"/>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outlineLvl w:val="0"/>
        <w:rPr>
          <w:rFonts w:hint="eastAsia" w:ascii="仿宋" w:hAnsi="仿宋" w:eastAsia="仿宋" w:cs="仿宋"/>
          <w:b w:val="0"/>
          <w:bCs/>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outlineLvl w:val="0"/>
        <w:rPr>
          <w:rFonts w:hint="eastAsia" w:ascii="仿宋" w:hAnsi="仿宋" w:eastAsia="仿宋" w:cs="仿宋"/>
          <w:b w:val="0"/>
          <w:bCs/>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（二）项目年度预算绩效目标和绩效指标设定情况</w:t>
      </w:r>
    </w:p>
    <w:p>
      <w:pPr>
        <w:spacing w:line="240" w:lineRule="auto"/>
        <w:ind w:firstLine="64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drawing>
          <wp:inline distT="0" distB="0" distL="114300" distR="114300">
            <wp:extent cx="4696460" cy="5662295"/>
            <wp:effectExtent l="0" t="0" r="8890" b="14605"/>
            <wp:docPr id="1" name="图片 1" descr="08808020109ad2bc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8808020109ad2bc03"/>
                    <pic:cNvPicPr>
                      <a:picLocks noChangeAspect="1"/>
                    </pic:cNvPicPr>
                  </pic:nvPicPr>
                  <pic:blipFill>
                    <a:blip r:embed="rId6"/>
                    <a:srcRect l="1114" t="823"/>
                    <a:stretch>
                      <a:fillRect/>
                    </a:stretch>
                  </pic:blipFill>
                  <pic:spPr>
                    <a:xfrm>
                      <a:off x="0" y="0"/>
                      <a:ext cx="4696460" cy="566229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outlineLvl w:val="0"/>
        <w:rPr>
          <w:rFonts w:ascii="黑体" w:hAnsi="黑体" w:eastAsia="黑体" w:cs="黑体"/>
          <w:b w:val="0"/>
          <w:bCs/>
          <w:sz w:val="32"/>
          <w:szCs w:val="32"/>
          <w:highlight w:val="none"/>
        </w:rPr>
      </w:pPr>
      <w:r>
        <w:rPr>
          <w:rFonts w:hint="eastAsia" w:ascii="黑体" w:hAnsi="黑体" w:eastAsia="黑体" w:cs="黑体"/>
          <w:b w:val="0"/>
          <w:bCs/>
          <w:sz w:val="32"/>
          <w:szCs w:val="32"/>
          <w:highlight w:val="none"/>
        </w:rPr>
        <w:t>二、</w:t>
      </w:r>
      <w:r>
        <w:rPr>
          <w:rFonts w:hint="eastAsia" w:ascii="黑体" w:hAnsi="黑体" w:eastAsia="黑体" w:cs="黑体"/>
          <w:b w:val="0"/>
          <w:bCs/>
          <w:sz w:val="32"/>
          <w:szCs w:val="32"/>
          <w:highlight w:val="none"/>
          <w:lang w:eastAsia="zh-CN"/>
        </w:rPr>
        <w:t>项目决策及资金使用管理情况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rPr>
        <w:t>（一）</w:t>
      </w:r>
      <w:r>
        <w:rPr>
          <w:rFonts w:hint="eastAsia" w:ascii="仿宋" w:hAnsi="仿宋" w:eastAsia="仿宋" w:cs="仿宋"/>
          <w:b w:val="0"/>
          <w:bCs/>
          <w:sz w:val="32"/>
          <w:szCs w:val="32"/>
          <w:highlight w:val="none"/>
          <w:lang w:val="en-US" w:eastAsia="zh-CN"/>
        </w:rPr>
        <w:t xml:space="preserve"> </w:t>
      </w:r>
      <w:r>
        <w:rPr>
          <w:rFonts w:hint="eastAsia" w:ascii="仿宋" w:hAnsi="仿宋" w:eastAsia="仿宋" w:cs="仿宋"/>
          <w:b w:val="0"/>
          <w:bCs/>
          <w:sz w:val="32"/>
          <w:szCs w:val="32"/>
          <w:highlight w:val="none"/>
          <w:lang w:eastAsia="zh-CN"/>
        </w:rPr>
        <w:t>项目决策情况</w:t>
      </w:r>
    </w:p>
    <w:p>
      <w:pPr>
        <w:keepNext w:val="0"/>
        <w:keepLines w:val="0"/>
        <w:pageBreakBefore w:val="0"/>
        <w:widowControl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b w:val="0"/>
          <w:bCs/>
          <w:sz w:val="32"/>
          <w:szCs w:val="32"/>
          <w:highlight w:val="none"/>
          <w:lang w:eastAsia="zh-CN"/>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年支持地方高校</w:t>
      </w:r>
      <w:r>
        <w:rPr>
          <w:rFonts w:hint="eastAsia" w:ascii="仿宋" w:hAnsi="仿宋" w:eastAsia="仿宋" w:cs="仿宋"/>
          <w:color w:val="auto"/>
          <w:sz w:val="32"/>
          <w:szCs w:val="32"/>
          <w:highlight w:val="none"/>
          <w:lang w:eastAsia="zh-CN"/>
        </w:rPr>
        <w:t>改革</w:t>
      </w:r>
      <w:r>
        <w:rPr>
          <w:rFonts w:hint="eastAsia" w:ascii="仿宋" w:hAnsi="仿宋" w:eastAsia="仿宋" w:cs="仿宋"/>
          <w:color w:val="auto"/>
          <w:sz w:val="32"/>
          <w:szCs w:val="32"/>
          <w:highlight w:val="none"/>
        </w:rPr>
        <w:t>发展</w:t>
      </w:r>
      <w:r>
        <w:rPr>
          <w:rFonts w:hint="eastAsia" w:ascii="仿宋" w:hAnsi="仿宋" w:eastAsia="仿宋" w:cs="仿宋"/>
          <w:color w:val="auto"/>
          <w:sz w:val="32"/>
          <w:szCs w:val="32"/>
          <w:highlight w:val="none"/>
          <w:lang w:eastAsia="zh-CN"/>
        </w:rPr>
        <w:t>项目预算分别经学校校长办公会议和党委会议审定，实施项目根据预算金额也进行分管校领导专题会、校长办公会议等进行决策。</w:t>
      </w:r>
      <w:r>
        <w:rPr>
          <w:rFonts w:hint="eastAsia" w:ascii="仿宋" w:hAnsi="仿宋" w:eastAsia="仿宋" w:cs="仿宋"/>
          <w:sz w:val="32"/>
          <w:szCs w:val="32"/>
          <w:highlight w:val="none"/>
        </w:rPr>
        <w:t>资金专款专用，严格执行财务支出制度</w:t>
      </w:r>
      <w:r>
        <w:rPr>
          <w:rFonts w:hint="eastAsia" w:ascii="仿宋" w:hAnsi="仿宋" w:eastAsia="仿宋" w:cs="仿宋"/>
          <w:sz w:val="32"/>
          <w:szCs w:val="32"/>
          <w:highlight w:val="none"/>
          <w:lang w:eastAsia="zh-CN"/>
        </w:rPr>
        <w:t>和相关</w:t>
      </w:r>
      <w:r>
        <w:rPr>
          <w:rFonts w:hint="eastAsia" w:ascii="仿宋" w:hAnsi="仿宋" w:eastAsia="仿宋" w:cs="仿宋"/>
          <w:sz w:val="32"/>
          <w:szCs w:val="32"/>
          <w:highlight w:val="none"/>
        </w:rPr>
        <w:t>管理制度，项目资金按时</w:t>
      </w:r>
      <w:r>
        <w:rPr>
          <w:rFonts w:hint="eastAsia" w:ascii="仿宋" w:hAnsi="仿宋" w:eastAsia="仿宋" w:cs="仿宋"/>
          <w:sz w:val="32"/>
          <w:szCs w:val="32"/>
          <w:highlight w:val="none"/>
          <w:lang w:val="en-US" w:eastAsia="zh-CN"/>
        </w:rPr>
        <w:t>支出</w:t>
      </w:r>
      <w:r>
        <w:rPr>
          <w:rFonts w:hint="eastAsia" w:ascii="仿宋" w:hAnsi="仿宋" w:eastAsia="仿宋" w:cs="仿宋"/>
          <w:sz w:val="32"/>
          <w:szCs w:val="32"/>
          <w:highlight w:val="none"/>
        </w:rPr>
        <w:t>使用。</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（二）项目资金（包括财政资金、自筹资金等）安排落实、总投入等情况</w:t>
      </w:r>
    </w:p>
    <w:p>
      <w:pPr>
        <w:keepNext w:val="0"/>
        <w:keepLines w:val="0"/>
        <w:pageBreakBefore w:val="0"/>
        <w:widowControl w:val="0"/>
        <w:kinsoku/>
        <w:wordWrap/>
        <w:overflowPunct/>
        <w:topLinePunct w:val="0"/>
        <w:autoSpaceDE/>
        <w:autoSpaceDN/>
        <w:bidi w:val="0"/>
        <w:adjustRightInd/>
        <w:spacing w:line="360" w:lineRule="auto"/>
        <w:ind w:firstLine="640"/>
        <w:textAlignment w:val="auto"/>
        <w:rPr>
          <w:rFonts w:hint="eastAsia" w:ascii="仿宋" w:hAnsi="仿宋" w:eastAsia="仿宋" w:cs="仿宋"/>
          <w:b w:val="0"/>
          <w:bCs/>
          <w:sz w:val="32"/>
          <w:szCs w:val="32"/>
          <w:highlight w:val="none"/>
          <w:lang w:eastAsia="zh-CN"/>
        </w:rPr>
      </w:pPr>
      <w:r>
        <w:rPr>
          <w:rFonts w:hint="eastAsia" w:ascii="仿宋" w:hAnsi="仿宋" w:eastAsia="仿宋" w:cs="仿宋"/>
          <w:color w:val="auto"/>
          <w:sz w:val="32"/>
          <w:szCs w:val="32"/>
          <w:highlight w:val="none"/>
        </w:rPr>
        <w:t>我校202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年获得支持地方高校</w:t>
      </w:r>
      <w:r>
        <w:rPr>
          <w:rFonts w:hint="eastAsia" w:ascii="仿宋" w:hAnsi="仿宋" w:eastAsia="仿宋" w:cs="仿宋"/>
          <w:color w:val="auto"/>
          <w:sz w:val="32"/>
          <w:szCs w:val="32"/>
          <w:highlight w:val="none"/>
          <w:lang w:eastAsia="zh-CN"/>
        </w:rPr>
        <w:t>改革</w:t>
      </w:r>
      <w:r>
        <w:rPr>
          <w:rFonts w:hint="eastAsia" w:ascii="仿宋" w:hAnsi="仿宋" w:eastAsia="仿宋" w:cs="仿宋"/>
          <w:color w:val="auto"/>
          <w:sz w:val="32"/>
          <w:szCs w:val="32"/>
          <w:highlight w:val="none"/>
        </w:rPr>
        <w:t>发展</w:t>
      </w:r>
      <w:r>
        <w:rPr>
          <w:rFonts w:hint="eastAsia"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rPr>
        <w:t>资金共计5,</w:t>
      </w:r>
      <w:r>
        <w:rPr>
          <w:rFonts w:hint="eastAsia" w:ascii="仿宋" w:hAnsi="仿宋" w:eastAsia="仿宋" w:cs="仿宋"/>
          <w:color w:val="auto"/>
          <w:sz w:val="32"/>
          <w:szCs w:val="32"/>
          <w:highlight w:val="none"/>
          <w:lang w:val="en-US" w:eastAsia="zh-CN"/>
        </w:rPr>
        <w:t>829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资金年初全部到位。</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项目资金（主要是指财政资金）实际使用情况</w:t>
      </w:r>
    </w:p>
    <w:p>
      <w:pPr>
        <w:keepNext w:val="0"/>
        <w:keepLines w:val="0"/>
        <w:pageBreakBefore w:val="0"/>
        <w:widowControl w:val="0"/>
        <w:kinsoku/>
        <w:wordWrap/>
        <w:overflowPunct/>
        <w:topLinePunct w:val="0"/>
        <w:autoSpaceDE/>
        <w:autoSpaceDN/>
        <w:bidi w:val="0"/>
        <w:adjustRightInd/>
        <w:spacing w:line="360" w:lineRule="auto"/>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我校</w:t>
      </w:r>
      <w:r>
        <w:rPr>
          <w:rFonts w:ascii="黑体" w:hAnsi="黑体" w:eastAsia="黑体" w:cs="Times New Roman"/>
          <w:sz w:val="32"/>
          <w:szCs w:val="32"/>
        </w:rPr>
        <w:t>202</w:t>
      </w:r>
      <w:r>
        <w:rPr>
          <w:rFonts w:hint="eastAsia" w:ascii="黑体" w:hAnsi="黑体" w:eastAsia="黑体" w:cs="Times New Roman"/>
          <w:sz w:val="32"/>
          <w:szCs w:val="32"/>
        </w:rPr>
        <w:t>3</w:t>
      </w:r>
      <w:r>
        <w:rPr>
          <w:rFonts w:ascii="Times New Roman" w:hAnsi="Times New Roman" w:eastAsia="仿宋_GB2312" w:cs="Times New Roman"/>
          <w:sz w:val="32"/>
          <w:szCs w:val="32"/>
        </w:rPr>
        <w:t>年获得支持地方高校</w:t>
      </w:r>
      <w:r>
        <w:rPr>
          <w:rFonts w:hint="eastAsia" w:ascii="Times New Roman" w:hAnsi="Times New Roman" w:eastAsia="仿宋_GB2312" w:cs="Times New Roman"/>
          <w:sz w:val="32"/>
          <w:szCs w:val="32"/>
        </w:rPr>
        <w:t>改革</w:t>
      </w:r>
      <w:r>
        <w:rPr>
          <w:rFonts w:ascii="Times New Roman" w:hAnsi="Times New Roman" w:eastAsia="仿宋_GB2312" w:cs="Times New Roman"/>
          <w:sz w:val="32"/>
          <w:szCs w:val="32"/>
        </w:rPr>
        <w:t>发展</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资金共计</w:t>
      </w:r>
      <w:r>
        <w:rPr>
          <w:rFonts w:ascii="黑体" w:hAnsi="黑体" w:eastAsia="黑体" w:cs="Times New Roman"/>
          <w:sz w:val="32"/>
          <w:szCs w:val="32"/>
        </w:rPr>
        <w:t>5,</w:t>
      </w:r>
      <w:r>
        <w:rPr>
          <w:rFonts w:hint="eastAsia" w:ascii="黑体" w:hAnsi="黑体" w:eastAsia="黑体" w:cs="Times New Roman"/>
          <w:sz w:val="32"/>
          <w:szCs w:val="32"/>
        </w:rPr>
        <w:t>829</w:t>
      </w:r>
      <w:r>
        <w:rPr>
          <w:rFonts w:ascii="Times New Roman" w:hAnsi="Times New Roman" w:eastAsia="仿宋_GB2312" w:cs="Times New Roman"/>
          <w:sz w:val="32"/>
          <w:szCs w:val="32"/>
        </w:rPr>
        <w:t>万元，已完成支出</w:t>
      </w:r>
      <w:r>
        <w:rPr>
          <w:rFonts w:hint="eastAsia" w:ascii="黑体" w:hAnsi="黑体" w:eastAsia="黑体" w:cs="Times New Roman"/>
          <w:sz w:val="32"/>
          <w:szCs w:val="32"/>
        </w:rPr>
        <w:t>5</w:t>
      </w:r>
      <w:r>
        <w:rPr>
          <w:rFonts w:ascii="黑体" w:hAnsi="黑体" w:eastAsia="黑体" w:cs="Times New Roman"/>
          <w:sz w:val="32"/>
          <w:szCs w:val="32"/>
        </w:rPr>
        <w:t>,</w:t>
      </w:r>
      <w:r>
        <w:rPr>
          <w:rFonts w:hint="eastAsia" w:ascii="黑体" w:hAnsi="黑体" w:eastAsia="黑体" w:cs="Times New Roman"/>
          <w:sz w:val="32"/>
          <w:szCs w:val="32"/>
        </w:rPr>
        <w:t>086</w:t>
      </w:r>
      <w:r>
        <w:rPr>
          <w:rFonts w:ascii="黑体" w:hAnsi="黑体" w:eastAsia="黑体" w:cs="Times New Roman"/>
          <w:sz w:val="32"/>
          <w:szCs w:val="32"/>
        </w:rPr>
        <w:t>.</w:t>
      </w:r>
      <w:r>
        <w:rPr>
          <w:rFonts w:hint="eastAsia" w:ascii="黑体" w:hAnsi="黑体" w:eastAsia="黑体" w:cs="Times New Roman"/>
          <w:sz w:val="32"/>
          <w:szCs w:val="32"/>
        </w:rPr>
        <w:t>92</w:t>
      </w:r>
      <w:r>
        <w:rPr>
          <w:rFonts w:ascii="Times New Roman" w:hAnsi="Times New Roman" w:eastAsia="仿宋_GB2312" w:cs="Times New Roman"/>
          <w:sz w:val="32"/>
          <w:szCs w:val="32"/>
        </w:rPr>
        <w:t>万元，支出进度</w:t>
      </w:r>
      <w:r>
        <w:rPr>
          <w:rFonts w:ascii="黑体" w:hAnsi="黑体" w:eastAsia="黑体" w:cs="Times New Roman"/>
          <w:sz w:val="32"/>
          <w:szCs w:val="32"/>
        </w:rPr>
        <w:t>8</w:t>
      </w:r>
      <w:r>
        <w:rPr>
          <w:rFonts w:hint="eastAsia" w:ascii="黑体" w:hAnsi="黑体" w:eastAsia="黑体" w:cs="Times New Roman"/>
          <w:sz w:val="32"/>
          <w:szCs w:val="32"/>
        </w:rPr>
        <w:t>7</w:t>
      </w:r>
      <w:r>
        <w:rPr>
          <w:rFonts w:ascii="黑体" w:hAnsi="黑体" w:eastAsia="黑体" w:cs="Times New Roman"/>
          <w:sz w:val="32"/>
          <w:szCs w:val="32"/>
        </w:rPr>
        <w:t>.</w:t>
      </w:r>
      <w:r>
        <w:rPr>
          <w:rFonts w:hint="eastAsia" w:ascii="黑体" w:hAnsi="黑体" w:eastAsia="黑体" w:cs="Times New Roman"/>
          <w:sz w:val="32"/>
          <w:szCs w:val="32"/>
        </w:rPr>
        <w:t>27</w:t>
      </w:r>
      <w:r>
        <w:rPr>
          <w:rFonts w:ascii="黑体" w:hAnsi="黑体" w:eastAsia="黑体" w:cs="Times New Roman"/>
          <w:sz w:val="32"/>
          <w:szCs w:val="32"/>
        </w:rPr>
        <w:t>%</w:t>
      </w:r>
      <w:r>
        <w:rPr>
          <w:rFonts w:ascii="Times New Roman" w:hAnsi="Times New Roman" w:eastAsia="仿宋_GB2312" w:cs="Times New Roman"/>
          <w:sz w:val="32"/>
          <w:szCs w:val="32"/>
        </w:rPr>
        <w:t>。其中，</w:t>
      </w:r>
      <w:r>
        <w:rPr>
          <w:rFonts w:ascii="黑体" w:hAnsi="黑体" w:eastAsia="黑体" w:cs="Times New Roman"/>
          <w:sz w:val="32"/>
          <w:szCs w:val="32"/>
        </w:rPr>
        <w:t>506-</w:t>
      </w:r>
      <w:r>
        <w:rPr>
          <w:rFonts w:ascii="Times New Roman" w:hAnsi="Times New Roman" w:eastAsia="仿宋_GB2312" w:cs="Times New Roman"/>
          <w:sz w:val="32"/>
          <w:szCs w:val="32"/>
        </w:rPr>
        <w:t>对事业单位资本性补助安排资金</w:t>
      </w:r>
      <w:r>
        <w:rPr>
          <w:rFonts w:hint="eastAsia" w:ascii="黑体" w:hAnsi="黑体" w:eastAsia="黑体" w:cs="Times New Roman"/>
          <w:sz w:val="32"/>
          <w:szCs w:val="32"/>
        </w:rPr>
        <w:t>1,159.28</w:t>
      </w:r>
      <w:r>
        <w:rPr>
          <w:rFonts w:ascii="Times New Roman" w:hAnsi="Times New Roman" w:eastAsia="仿宋_GB2312" w:cs="Times New Roman"/>
          <w:sz w:val="32"/>
          <w:szCs w:val="32"/>
        </w:rPr>
        <w:t>万元，完成支出</w:t>
      </w:r>
      <w:r>
        <w:rPr>
          <w:rFonts w:hint="eastAsia" w:ascii="黑体" w:hAnsi="黑体" w:eastAsia="黑体" w:cs="Times New Roman"/>
          <w:sz w:val="32"/>
          <w:szCs w:val="32"/>
        </w:rPr>
        <w:t>1152.15</w:t>
      </w:r>
      <w:r>
        <w:rPr>
          <w:rFonts w:ascii="Times New Roman" w:hAnsi="Times New Roman" w:eastAsia="仿宋_GB2312" w:cs="Times New Roman"/>
          <w:sz w:val="32"/>
          <w:szCs w:val="32"/>
        </w:rPr>
        <w:t>万元，支出进度</w:t>
      </w:r>
      <w:r>
        <w:rPr>
          <w:rFonts w:hint="eastAsia" w:ascii="黑体" w:hAnsi="黑体" w:eastAsia="黑体" w:cs="Times New Roman"/>
          <w:sz w:val="32"/>
          <w:szCs w:val="32"/>
        </w:rPr>
        <w:t>99.38</w:t>
      </w:r>
      <w:r>
        <w:rPr>
          <w:rFonts w:ascii="黑体" w:hAnsi="黑体" w:eastAsia="黑体" w:cs="Times New Roman"/>
          <w:sz w:val="32"/>
          <w:szCs w:val="32"/>
        </w:rPr>
        <w:t>%</w:t>
      </w:r>
      <w:r>
        <w:rPr>
          <w:rFonts w:ascii="Times New Roman" w:hAnsi="Times New Roman" w:eastAsia="仿宋_GB2312" w:cs="Times New Roman"/>
          <w:sz w:val="32"/>
          <w:szCs w:val="32"/>
        </w:rPr>
        <w:t>；</w:t>
      </w:r>
      <w:r>
        <w:rPr>
          <w:rFonts w:ascii="黑体" w:hAnsi="黑体" w:eastAsia="黑体" w:cs="Times New Roman"/>
          <w:sz w:val="32"/>
          <w:szCs w:val="32"/>
        </w:rPr>
        <w:t>505</w:t>
      </w:r>
      <w:r>
        <w:rPr>
          <w:rFonts w:ascii="Times New Roman" w:hAnsi="Times New Roman" w:eastAsia="仿宋_GB2312" w:cs="Times New Roman"/>
          <w:sz w:val="32"/>
          <w:szCs w:val="32"/>
        </w:rPr>
        <w:t>-对事业单位经常性补助安排资金</w:t>
      </w:r>
      <w:r>
        <w:rPr>
          <w:rFonts w:ascii="黑体" w:hAnsi="黑体" w:eastAsia="黑体" w:cs="Times New Roman"/>
          <w:sz w:val="32"/>
          <w:szCs w:val="32"/>
        </w:rPr>
        <w:t>4,0</w:t>
      </w:r>
      <w:r>
        <w:rPr>
          <w:rFonts w:hint="eastAsia" w:ascii="黑体" w:hAnsi="黑体" w:eastAsia="黑体" w:cs="Times New Roman"/>
          <w:sz w:val="32"/>
          <w:szCs w:val="32"/>
        </w:rPr>
        <w:t>69.72</w:t>
      </w:r>
      <w:r>
        <w:rPr>
          <w:rFonts w:ascii="Times New Roman" w:hAnsi="Times New Roman" w:eastAsia="仿宋_GB2312" w:cs="Times New Roman"/>
          <w:sz w:val="32"/>
          <w:szCs w:val="32"/>
        </w:rPr>
        <w:t>万元，完成支出</w:t>
      </w:r>
      <w:r>
        <w:rPr>
          <w:rFonts w:ascii="黑体" w:hAnsi="黑体" w:eastAsia="黑体" w:cs="Times New Roman"/>
          <w:sz w:val="32"/>
          <w:szCs w:val="32"/>
        </w:rPr>
        <w:t>3,4</w:t>
      </w:r>
      <w:r>
        <w:rPr>
          <w:rFonts w:hint="eastAsia" w:ascii="黑体" w:hAnsi="黑体" w:eastAsia="黑体" w:cs="Times New Roman"/>
          <w:sz w:val="32"/>
          <w:szCs w:val="32"/>
        </w:rPr>
        <w:t>88</w:t>
      </w:r>
      <w:r>
        <w:rPr>
          <w:rFonts w:ascii="黑体" w:hAnsi="黑体" w:eastAsia="黑体" w:cs="Times New Roman"/>
          <w:sz w:val="32"/>
          <w:szCs w:val="32"/>
        </w:rPr>
        <w:t>.</w:t>
      </w:r>
      <w:r>
        <w:rPr>
          <w:rFonts w:hint="eastAsia" w:ascii="黑体" w:hAnsi="黑体" w:eastAsia="黑体" w:cs="Times New Roman"/>
          <w:sz w:val="32"/>
          <w:szCs w:val="32"/>
        </w:rPr>
        <w:t>42</w:t>
      </w:r>
      <w:r>
        <w:rPr>
          <w:rFonts w:ascii="Times New Roman" w:hAnsi="Times New Roman" w:eastAsia="仿宋_GB2312" w:cs="Times New Roman"/>
          <w:sz w:val="32"/>
          <w:szCs w:val="32"/>
        </w:rPr>
        <w:t>万元，支出进度</w:t>
      </w:r>
      <w:r>
        <w:rPr>
          <w:rFonts w:ascii="黑体" w:hAnsi="黑体" w:eastAsia="黑体" w:cs="Times New Roman"/>
          <w:sz w:val="32"/>
          <w:szCs w:val="32"/>
        </w:rPr>
        <w:t>8</w:t>
      </w:r>
      <w:r>
        <w:rPr>
          <w:rFonts w:hint="eastAsia" w:ascii="黑体" w:hAnsi="黑体" w:eastAsia="黑体" w:cs="Times New Roman"/>
          <w:sz w:val="32"/>
          <w:szCs w:val="32"/>
        </w:rPr>
        <w:t>5</w:t>
      </w:r>
      <w:r>
        <w:rPr>
          <w:rFonts w:ascii="黑体" w:hAnsi="黑体" w:eastAsia="黑体" w:cs="Times New Roman"/>
          <w:sz w:val="32"/>
          <w:szCs w:val="32"/>
        </w:rPr>
        <w:t>.</w:t>
      </w:r>
      <w:r>
        <w:rPr>
          <w:rFonts w:hint="eastAsia" w:ascii="黑体" w:hAnsi="黑体" w:eastAsia="黑体" w:cs="Times New Roman"/>
          <w:sz w:val="32"/>
          <w:szCs w:val="32"/>
        </w:rPr>
        <w:t>72</w:t>
      </w:r>
      <w:r>
        <w:rPr>
          <w:rFonts w:ascii="黑体" w:hAnsi="黑体" w:eastAsia="黑体" w:cs="Times New Roman"/>
          <w:sz w:val="32"/>
          <w:szCs w:val="32"/>
        </w:rPr>
        <w:t>%</w:t>
      </w:r>
      <w:r>
        <w:rPr>
          <w:rFonts w:ascii="Times New Roman" w:hAnsi="Times New Roman" w:eastAsia="仿宋_GB2312" w:cs="Times New Roman"/>
          <w:sz w:val="32"/>
          <w:szCs w:val="32"/>
        </w:rPr>
        <w:t>；</w:t>
      </w:r>
      <w:r>
        <w:rPr>
          <w:rFonts w:ascii="黑体" w:hAnsi="黑体" w:eastAsia="黑体" w:cs="Times New Roman"/>
          <w:sz w:val="32"/>
          <w:szCs w:val="32"/>
        </w:rPr>
        <w:t>509</w:t>
      </w:r>
      <w:r>
        <w:rPr>
          <w:rFonts w:ascii="Times New Roman" w:hAnsi="Times New Roman" w:eastAsia="仿宋_GB2312" w:cs="Times New Roman"/>
          <w:sz w:val="32"/>
          <w:szCs w:val="32"/>
        </w:rPr>
        <w:t>-对个人和家庭的补助安排资金</w:t>
      </w:r>
      <w:r>
        <w:rPr>
          <w:rFonts w:hint="eastAsia" w:ascii="Times New Roman" w:hAnsi="Times New Roman" w:eastAsia="仿宋_GB2312" w:cs="Times New Roman"/>
          <w:sz w:val="32"/>
          <w:szCs w:val="32"/>
        </w:rPr>
        <w:t>6</w:t>
      </w:r>
      <w:r>
        <w:rPr>
          <w:rFonts w:ascii="黑体" w:hAnsi="黑体" w:eastAsia="黑体" w:cs="Times New Roman"/>
          <w:sz w:val="32"/>
          <w:szCs w:val="32"/>
        </w:rPr>
        <w:t>00</w:t>
      </w:r>
      <w:r>
        <w:rPr>
          <w:rFonts w:ascii="Times New Roman" w:hAnsi="Times New Roman" w:eastAsia="仿宋_GB2312" w:cs="Times New Roman"/>
          <w:sz w:val="32"/>
          <w:szCs w:val="32"/>
        </w:rPr>
        <w:t>万元，完成支出</w:t>
      </w:r>
      <w:r>
        <w:rPr>
          <w:rFonts w:hint="eastAsia" w:ascii="黑体" w:hAnsi="黑体" w:eastAsia="黑体" w:cs="Times New Roman"/>
          <w:sz w:val="32"/>
          <w:szCs w:val="32"/>
        </w:rPr>
        <w:t>446.35</w:t>
      </w:r>
      <w:r>
        <w:rPr>
          <w:rFonts w:ascii="Times New Roman" w:hAnsi="Times New Roman" w:eastAsia="仿宋_GB2312" w:cs="Times New Roman"/>
          <w:sz w:val="32"/>
          <w:szCs w:val="32"/>
        </w:rPr>
        <w:t>万元，支出进度</w:t>
      </w:r>
      <w:r>
        <w:rPr>
          <w:rFonts w:hint="eastAsia" w:ascii="黑体" w:hAnsi="黑体" w:eastAsia="黑体" w:cs="Times New Roman"/>
          <w:sz w:val="32"/>
          <w:szCs w:val="32"/>
        </w:rPr>
        <w:t>74.39</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pacing w:line="360" w:lineRule="auto"/>
        <w:ind w:firstLine="640"/>
        <w:textAlignment w:val="auto"/>
        <w:rPr>
          <w:rFonts w:ascii="Times New Roman" w:hAnsi="Times New Roman" w:eastAsia="仿宋_GB2312" w:cs="Times New Roman"/>
          <w:sz w:val="32"/>
          <w:szCs w:val="32"/>
          <w:highlight w:val="none"/>
        </w:rPr>
      </w:pPr>
      <w:r>
        <w:rPr>
          <w:rFonts w:ascii="黑体" w:hAnsi="黑体" w:eastAsia="黑体" w:cs="Times New Roman"/>
          <w:sz w:val="32"/>
          <w:szCs w:val="32"/>
        </w:rPr>
        <w:t>202</w:t>
      </w:r>
      <w:r>
        <w:rPr>
          <w:rFonts w:hint="eastAsia" w:ascii="黑体" w:hAnsi="黑体" w:eastAsia="黑体" w:cs="Times New Roman"/>
          <w:sz w:val="32"/>
          <w:szCs w:val="32"/>
        </w:rPr>
        <w:t>3</w:t>
      </w:r>
      <w:r>
        <w:rPr>
          <w:rFonts w:ascii="Times New Roman" w:hAnsi="Times New Roman" w:eastAsia="仿宋_GB2312" w:cs="Times New Roman"/>
          <w:sz w:val="32"/>
          <w:szCs w:val="32"/>
        </w:rPr>
        <w:t>年支持地方高校改革发展项目资金主要用于以下几项内容：1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科研平台和专业能力实践基地建设项目，安排资金</w:t>
      </w:r>
      <w:r>
        <w:rPr>
          <w:rFonts w:hint="eastAsia" w:ascii="黑体" w:hAnsi="黑体" w:eastAsia="黑体" w:cs="Times New Roman"/>
          <w:sz w:val="32"/>
          <w:szCs w:val="32"/>
          <w:highlight w:val="none"/>
        </w:rPr>
        <w:t>692.93</w:t>
      </w:r>
      <w:r>
        <w:rPr>
          <w:rFonts w:ascii="Times New Roman" w:hAnsi="Times New Roman" w:eastAsia="仿宋_GB2312" w:cs="Times New Roman"/>
          <w:sz w:val="32"/>
          <w:szCs w:val="32"/>
          <w:highlight w:val="none"/>
        </w:rPr>
        <w:t>万元；2</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人才培养和创新团队建设项目，安排资金</w:t>
      </w:r>
      <w:r>
        <w:rPr>
          <w:rFonts w:hint="eastAsia" w:ascii="黑体" w:hAnsi="黑体" w:eastAsia="黑体" w:cs="Times New Roman"/>
          <w:sz w:val="32"/>
          <w:szCs w:val="32"/>
          <w:highlight w:val="none"/>
        </w:rPr>
        <w:t>977</w:t>
      </w:r>
      <w:r>
        <w:rPr>
          <w:rFonts w:ascii="Times New Roman" w:hAnsi="Times New Roman" w:eastAsia="仿宋_GB2312" w:cs="Times New Roman"/>
          <w:sz w:val="32"/>
          <w:szCs w:val="32"/>
          <w:highlight w:val="none"/>
        </w:rPr>
        <w:t>万元；3</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公共服务体系建设项目，安排资金</w:t>
      </w:r>
      <w:r>
        <w:rPr>
          <w:rFonts w:hint="eastAsia" w:ascii="黑体" w:hAnsi="黑体" w:eastAsia="黑体" w:cs="Times New Roman"/>
          <w:sz w:val="32"/>
          <w:szCs w:val="32"/>
          <w:highlight w:val="none"/>
        </w:rPr>
        <w:t>2,829</w:t>
      </w:r>
      <w:r>
        <w:rPr>
          <w:rFonts w:ascii="Times New Roman" w:hAnsi="Times New Roman" w:eastAsia="仿宋_GB2312" w:cs="Times New Roman"/>
          <w:sz w:val="32"/>
          <w:szCs w:val="32"/>
          <w:highlight w:val="none"/>
        </w:rPr>
        <w:t>万元；4</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学生创新发展专项，安排资金</w:t>
      </w:r>
      <w:r>
        <w:rPr>
          <w:rFonts w:hint="eastAsia" w:ascii="黑体" w:hAnsi="黑体" w:eastAsia="黑体" w:cs="Times New Roman"/>
          <w:sz w:val="32"/>
          <w:szCs w:val="32"/>
          <w:highlight w:val="none"/>
        </w:rPr>
        <w:t>328.3</w:t>
      </w:r>
      <w:r>
        <w:rPr>
          <w:rFonts w:ascii="Times New Roman" w:hAnsi="Times New Roman" w:eastAsia="仿宋_GB2312" w:cs="Times New Roman"/>
          <w:sz w:val="32"/>
          <w:szCs w:val="32"/>
          <w:highlight w:val="none"/>
        </w:rPr>
        <w:t>万元；5</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学科、硕士学位点建设，安排资金</w:t>
      </w:r>
      <w:r>
        <w:rPr>
          <w:rFonts w:hint="eastAsia" w:ascii="黑体" w:hAnsi="黑体" w:eastAsia="黑体" w:cs="Times New Roman"/>
          <w:sz w:val="32"/>
          <w:szCs w:val="32"/>
          <w:highlight w:val="none"/>
        </w:rPr>
        <w:t>102.7</w:t>
      </w:r>
      <w:r>
        <w:rPr>
          <w:rFonts w:ascii="Times New Roman" w:hAnsi="Times New Roman" w:eastAsia="仿宋_GB2312" w:cs="Times New Roman"/>
          <w:sz w:val="32"/>
          <w:szCs w:val="32"/>
          <w:highlight w:val="none"/>
        </w:rPr>
        <w:t>万元；6、教学业务专项，安排资金</w:t>
      </w:r>
      <w:r>
        <w:rPr>
          <w:rFonts w:hint="eastAsia" w:ascii="黑体" w:hAnsi="黑体" w:eastAsia="黑体" w:cs="Times New Roman"/>
          <w:sz w:val="32"/>
          <w:szCs w:val="32"/>
          <w:highlight w:val="none"/>
        </w:rPr>
        <w:t>899.07</w:t>
      </w:r>
      <w:r>
        <w:rPr>
          <w:rFonts w:ascii="Times New Roman" w:hAnsi="Times New Roman" w:eastAsia="仿宋_GB2312" w:cs="Times New Roman"/>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360" w:lineRule="auto"/>
        <w:ind w:firstLine="641"/>
        <w:textAlignment w:val="auto"/>
        <w:rPr>
          <w:rFonts w:hint="eastAsia" w:ascii="仿宋" w:hAnsi="仿宋" w:eastAsia="仿宋" w:cs="仿宋"/>
          <w:b w:val="0"/>
          <w:bCs/>
          <w:sz w:val="32"/>
          <w:szCs w:val="32"/>
          <w:highlight w:val="none"/>
          <w:lang w:eastAsia="zh-CN"/>
        </w:rPr>
      </w:pPr>
      <w:r>
        <w:rPr>
          <w:rFonts w:hint="eastAsia" w:ascii="Times New Roman" w:hAnsi="Times New Roman" w:eastAsia="仿宋_GB2312" w:cs="Times New Roman"/>
          <w:sz w:val="32"/>
          <w:szCs w:val="32"/>
          <w:highlight w:val="none"/>
        </w:rPr>
        <w:t>我校</w:t>
      </w:r>
      <w:r>
        <w:rPr>
          <w:rFonts w:ascii="黑体" w:hAnsi="黑体" w:eastAsia="黑体" w:cs="Times New Roman"/>
          <w:sz w:val="32"/>
          <w:szCs w:val="32"/>
          <w:highlight w:val="none"/>
        </w:rPr>
        <w:t>202</w:t>
      </w:r>
      <w:r>
        <w:rPr>
          <w:rFonts w:hint="eastAsia" w:ascii="黑体" w:hAnsi="黑体" w:eastAsia="黑体" w:cs="Times New Roman"/>
          <w:sz w:val="32"/>
          <w:szCs w:val="32"/>
          <w:highlight w:val="none"/>
        </w:rPr>
        <w:t>3</w:t>
      </w:r>
      <w:r>
        <w:rPr>
          <w:rFonts w:ascii="Times New Roman" w:hAnsi="Times New Roman" w:eastAsia="仿宋_GB2312" w:cs="Times New Roman"/>
          <w:sz w:val="32"/>
          <w:szCs w:val="32"/>
          <w:highlight w:val="none"/>
        </w:rPr>
        <w:t>年支持地方高校改革发展</w:t>
      </w:r>
      <w:r>
        <w:rPr>
          <w:rFonts w:hint="eastAsia" w:ascii="Times New Roman" w:hAnsi="Times New Roman" w:eastAsia="仿宋_GB2312" w:cs="Times New Roman"/>
          <w:sz w:val="32"/>
          <w:szCs w:val="32"/>
          <w:highlight w:val="none"/>
        </w:rPr>
        <w:t>项目执行</w:t>
      </w:r>
      <w:r>
        <w:rPr>
          <w:rFonts w:ascii="Times New Roman" w:hAnsi="Times New Roman" w:eastAsia="仿宋_GB2312" w:cs="Times New Roman"/>
          <w:sz w:val="32"/>
          <w:szCs w:val="32"/>
          <w:highlight w:val="none"/>
        </w:rPr>
        <w:t>成效明显</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通过该资金的投入</w:t>
      </w:r>
      <w:r>
        <w:rPr>
          <w:rFonts w:hint="eastAsia" w:ascii="Times New Roman" w:hAnsi="Times New Roman" w:eastAsia="仿宋_GB2312" w:cs="Times New Roman"/>
          <w:sz w:val="32"/>
          <w:szCs w:val="32"/>
          <w:highlight w:val="none"/>
        </w:rPr>
        <w:t>和建设，</w:t>
      </w:r>
      <w:r>
        <w:rPr>
          <w:rFonts w:ascii="Times New Roman" w:hAnsi="Times New Roman" w:eastAsia="仿宋_GB2312" w:cs="Times New Roman"/>
          <w:sz w:val="32"/>
          <w:szCs w:val="32"/>
          <w:highlight w:val="none"/>
        </w:rPr>
        <w:t>我校的基础教学科研条件得到改善</w:t>
      </w:r>
      <w:r>
        <w:rPr>
          <w:rFonts w:ascii="Times New Roman" w:hAnsi="Times New Roman" w:eastAsia="仿宋_GB2312" w:cs="Times New Roman"/>
          <w:sz w:val="32"/>
          <w:szCs w:val="32"/>
        </w:rPr>
        <w:t>，师资队伍素质结构更加优化，学生学习、实践、就业和创新能力得到提升，学校办学质量得到提升、特色得以彰显，办学效益和办学声誉</w:t>
      </w:r>
      <w:r>
        <w:rPr>
          <w:rFonts w:hint="eastAsia" w:ascii="Times New Roman" w:hAnsi="Times New Roman" w:eastAsia="仿宋_GB2312" w:cs="Times New Roman"/>
          <w:sz w:val="32"/>
          <w:szCs w:val="32"/>
        </w:rPr>
        <w:t>进一步</w:t>
      </w:r>
      <w:r>
        <w:rPr>
          <w:rFonts w:ascii="Times New Roman" w:hAnsi="Times New Roman" w:eastAsia="仿宋_GB2312" w:cs="Times New Roman"/>
          <w:sz w:val="32"/>
          <w:szCs w:val="32"/>
        </w:rPr>
        <w:t>提高。</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rPr>
        <w:t>（</w:t>
      </w:r>
      <w:r>
        <w:rPr>
          <w:rFonts w:hint="eastAsia" w:ascii="仿宋" w:hAnsi="仿宋" w:eastAsia="仿宋" w:cs="仿宋"/>
          <w:b w:val="0"/>
          <w:bCs/>
          <w:sz w:val="32"/>
          <w:szCs w:val="32"/>
          <w:highlight w:val="none"/>
          <w:lang w:eastAsia="zh-CN"/>
        </w:rPr>
        <w:t>四</w:t>
      </w:r>
      <w:r>
        <w:rPr>
          <w:rFonts w:hint="eastAsia" w:ascii="仿宋" w:hAnsi="仿宋" w:eastAsia="仿宋" w:cs="仿宋"/>
          <w:b w:val="0"/>
          <w:bCs/>
          <w:sz w:val="32"/>
          <w:szCs w:val="32"/>
          <w:highlight w:val="none"/>
        </w:rPr>
        <w:t>）</w:t>
      </w:r>
      <w:r>
        <w:rPr>
          <w:rFonts w:hint="eastAsia" w:ascii="仿宋" w:hAnsi="仿宋" w:eastAsia="仿宋" w:cs="仿宋"/>
          <w:b w:val="0"/>
          <w:bCs/>
          <w:sz w:val="32"/>
          <w:szCs w:val="32"/>
          <w:highlight w:val="none"/>
          <w:lang w:eastAsia="zh-CN"/>
        </w:rPr>
        <w:t>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学校出台了《海南热带海洋学院专项资金管理办法》（</w:t>
      </w:r>
      <w:r>
        <w:rPr>
          <w:rFonts w:hint="eastAsia" w:ascii="Times New Roman" w:hAnsi="Times New Roman" w:eastAsia="仿宋_GB2312" w:cs="Times New Roman"/>
          <w:sz w:val="32"/>
          <w:szCs w:val="32"/>
        </w:rPr>
        <w:t>热</w:t>
      </w:r>
      <w:r>
        <w:rPr>
          <w:rFonts w:ascii="Times New Roman" w:hAnsi="Times New Roman" w:eastAsia="仿宋_GB2312" w:cs="Times New Roman"/>
          <w:sz w:val="32"/>
          <w:szCs w:val="32"/>
        </w:rPr>
        <w:t>海大办〔2020〕126号）来规范资金的管理，保证专项项目顺利实施，确保专款专用，计划财务处制定了《关于加快预算执行支出进度的管理规定》（计财〔2016〕8号）来提高专项资金的使用效率。同时，为了顺利实施、加快支出进度，把支持地方高校改革发展</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进一步细化，明确专项资金建设的具体项目的负责人，并制定项目推进计划书，明确落实完成项目的时间节点和责任部门。</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黑体" w:hAnsi="黑体" w:eastAsia="黑体" w:cs="黑体"/>
          <w:b w:val="0"/>
          <w:bCs/>
          <w:sz w:val="32"/>
          <w:szCs w:val="32"/>
          <w:highlight w:val="none"/>
          <w:lang w:eastAsia="zh-CN"/>
        </w:rPr>
      </w:pPr>
      <w:r>
        <w:rPr>
          <w:rFonts w:hint="eastAsia" w:ascii="黑体" w:hAnsi="黑体" w:eastAsia="黑体" w:cs="黑体"/>
          <w:b w:val="0"/>
          <w:bCs/>
          <w:sz w:val="32"/>
          <w:szCs w:val="32"/>
          <w:highlight w:val="none"/>
        </w:rPr>
        <w:t>三、</w:t>
      </w:r>
      <w:r>
        <w:rPr>
          <w:rFonts w:hint="eastAsia" w:ascii="黑体" w:hAnsi="黑体" w:eastAsia="黑体" w:cs="黑体"/>
          <w:b w:val="0"/>
          <w:bCs/>
          <w:sz w:val="32"/>
          <w:szCs w:val="32"/>
          <w:highlight w:val="none"/>
          <w:lang w:eastAsia="zh-CN"/>
        </w:rPr>
        <w:t>项目组织实施情况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（一）项目组织情况（包括项目招投标情况、调整情况、完成验收等）</w:t>
      </w:r>
    </w:p>
    <w:p>
      <w:pPr>
        <w:keepNext w:val="0"/>
        <w:keepLines w:val="0"/>
        <w:pageBreakBefore w:val="0"/>
        <w:widowControl w:val="0"/>
        <w:numPr>
          <w:numId w:val="0"/>
        </w:numPr>
        <w:kinsoku/>
        <w:wordWrap/>
        <w:overflowPunct/>
        <w:topLinePunct w:val="0"/>
        <w:autoSpaceDE/>
        <w:autoSpaceDN/>
        <w:bidi w:val="0"/>
        <w:adjustRightInd/>
        <w:spacing w:line="360" w:lineRule="auto"/>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科研平台和专业能力实践基地建设项目。</w:t>
      </w:r>
      <w:r>
        <w:rPr>
          <w:rFonts w:ascii="Times New Roman" w:hAnsi="Times New Roman" w:eastAsia="仿宋_GB2312" w:cs="Times New Roman"/>
          <w:sz w:val="32"/>
          <w:szCs w:val="32"/>
        </w:rPr>
        <w:t>该项目资金主要用于</w:t>
      </w:r>
      <w:r>
        <w:rPr>
          <w:rFonts w:hint="eastAsia" w:ascii="Times New Roman" w:hAnsi="Times New Roman" w:eastAsia="仿宋_GB2312" w:cs="Times New Roman"/>
          <w:sz w:val="32"/>
          <w:szCs w:val="32"/>
        </w:rPr>
        <w:t>热带海洋生物资源利用与保护教育部重点实验室运行、海南省热带海洋渔业资源保护与利用重点实验室、海南省两栖爬行动物研究重点实验室科研平台建设等</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个项目建设</w:t>
      </w:r>
      <w:r>
        <w:rPr>
          <w:rFonts w:hint="eastAsia" w:ascii="Times New Roman" w:hAnsi="Times New Roman" w:eastAsia="仿宋_GB2312" w:cs="Times New Roman"/>
          <w:sz w:val="32"/>
          <w:szCs w:val="32"/>
        </w:rPr>
        <w:t>。通过对以上科</w:t>
      </w:r>
      <w:r>
        <w:rPr>
          <w:rFonts w:ascii="Times New Roman" w:hAnsi="Times New Roman" w:eastAsia="仿宋_GB2312" w:cs="Times New Roman"/>
          <w:sz w:val="32"/>
          <w:szCs w:val="32"/>
        </w:rPr>
        <w:t>研平台的建设，</w:t>
      </w:r>
      <w:r>
        <w:rPr>
          <w:rFonts w:hint="eastAsia" w:ascii="Times New Roman" w:hAnsi="Times New Roman" w:eastAsia="仿宋_GB2312" w:cs="Times New Roman"/>
          <w:sz w:val="32"/>
          <w:szCs w:val="32"/>
        </w:rPr>
        <w:t>改善了</w:t>
      </w:r>
      <w:r>
        <w:rPr>
          <w:rFonts w:eastAsia="仿宋_GB2312"/>
          <w:kern w:val="0"/>
          <w:sz w:val="32"/>
          <w:szCs w:val="32"/>
        </w:rPr>
        <w:t>科研实验条件，为实验室教学及科研水平的提高提供良好条件</w:t>
      </w:r>
      <w:r>
        <w:rPr>
          <w:rFonts w:hint="eastAsia" w:eastAsia="仿宋_GB2312"/>
          <w:kern w:val="0"/>
          <w:sz w:val="32"/>
          <w:szCs w:val="32"/>
        </w:rPr>
        <w:t>，</w:t>
      </w:r>
      <w:r>
        <w:rPr>
          <w:rFonts w:eastAsia="仿宋_GB2312"/>
          <w:kern w:val="0"/>
          <w:sz w:val="32"/>
          <w:szCs w:val="32"/>
        </w:rPr>
        <w:t>直接受益的有水产养殖、生物科学</w:t>
      </w:r>
      <w:r>
        <w:rPr>
          <w:rFonts w:hint="eastAsia" w:eastAsia="仿宋_GB2312"/>
          <w:kern w:val="0"/>
          <w:sz w:val="32"/>
          <w:szCs w:val="32"/>
        </w:rPr>
        <w:t>、</w:t>
      </w:r>
      <w:r>
        <w:rPr>
          <w:rFonts w:eastAsia="仿宋_GB2312"/>
          <w:kern w:val="0"/>
          <w:sz w:val="32"/>
          <w:szCs w:val="32"/>
        </w:rPr>
        <w:t>海洋渔业科学与技术</w:t>
      </w:r>
      <w:r>
        <w:rPr>
          <w:rFonts w:hint="eastAsia" w:eastAsia="仿宋_GB2312"/>
          <w:kern w:val="0"/>
          <w:sz w:val="32"/>
          <w:szCs w:val="32"/>
        </w:rPr>
        <w:t>和生态学4</w:t>
      </w:r>
      <w:r>
        <w:rPr>
          <w:rFonts w:eastAsia="仿宋_GB2312"/>
          <w:kern w:val="0"/>
          <w:sz w:val="32"/>
          <w:szCs w:val="32"/>
        </w:rPr>
        <w:t>个本科专业学生，</w:t>
      </w:r>
      <w:r>
        <w:rPr>
          <w:rFonts w:hint="eastAsia" w:eastAsia="仿宋_GB2312"/>
          <w:kern w:val="0"/>
          <w:sz w:val="32"/>
          <w:szCs w:val="32"/>
        </w:rPr>
        <w:t>较好地完成了202</w:t>
      </w:r>
      <w:r>
        <w:rPr>
          <w:rFonts w:eastAsia="仿宋_GB2312"/>
          <w:kern w:val="0"/>
          <w:sz w:val="32"/>
          <w:szCs w:val="32"/>
        </w:rPr>
        <w:t>3</w:t>
      </w:r>
      <w:r>
        <w:rPr>
          <w:rFonts w:hint="eastAsia" w:eastAsia="仿宋_GB2312"/>
          <w:kern w:val="0"/>
          <w:sz w:val="32"/>
          <w:szCs w:val="32"/>
        </w:rPr>
        <w:t>年度省级重点实验室建设任务，</w:t>
      </w:r>
      <w:r>
        <w:rPr>
          <w:rFonts w:hint="eastAsia" w:eastAsia="仿宋_GB2312"/>
          <w:sz w:val="32"/>
          <w:szCs w:val="32"/>
        </w:rPr>
        <w:t>给师生创造一个良好的育人环境，为培养动物学学科高素质人才起到间接的影响</w:t>
      </w:r>
      <w:r>
        <w:rPr>
          <w:rFonts w:hint="eastAsia" w:eastAsia="仿宋_GB2312"/>
          <w:kern w:val="0"/>
          <w:sz w:val="32"/>
          <w:szCs w:val="32"/>
        </w:rPr>
        <w:t>。同时，</w:t>
      </w:r>
    </w:p>
    <w:p>
      <w:pPr>
        <w:keepNext w:val="0"/>
        <w:keepLines w:val="0"/>
        <w:pageBreakBefore w:val="0"/>
        <w:widowControl w:val="0"/>
        <w:kinsoku/>
        <w:wordWrap/>
        <w:overflowPunct/>
        <w:topLinePunct w:val="0"/>
        <w:autoSpaceDE/>
        <w:autoSpaceDN/>
        <w:bidi w:val="0"/>
        <w:adjustRightInd/>
        <w:spacing w:line="360" w:lineRule="auto"/>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包振民院士工作站、蒋兴伟院士工作站与朱蓓薇院士团队创新中心在不断提升自身综合科研实力的基础上，整合资源，多学科合作，与多家企业或单位建立合作关系，为科研教学和成果转化提供良好的平台。其中包振民院士工作站</w:t>
      </w:r>
      <w:r>
        <w:rPr>
          <w:rFonts w:hint="eastAsia" w:ascii="仿宋_GB2312" w:hAnsi="仿宋" w:eastAsia="仿宋_GB2312"/>
          <w:sz w:val="32"/>
          <w:szCs w:val="32"/>
        </w:rPr>
        <w:t>采用培养与引进、传帮带相结合的方式，加大学科骨干的培养力度，建设期内，教师队伍中副高以上职称从40%提高到50%以上，45岁以下的年轻教师的博士学历达到60%以上，支撑海洋渔业科学与技术、水产养殖、海洋生物学等5个本科专业的教学任务，服务学生人数将达到100人，</w:t>
      </w:r>
      <w:r>
        <w:rPr>
          <w:rFonts w:ascii="Times New Roman" w:hAnsi="Times New Roman" w:eastAsia="仿宋_GB2312" w:cs="Times New Roman"/>
          <w:sz w:val="32"/>
          <w:szCs w:val="32"/>
        </w:rPr>
        <w:t>为人才培养发挥了积极的作用。</w:t>
      </w:r>
    </w:p>
    <w:p>
      <w:pPr>
        <w:keepNext w:val="0"/>
        <w:keepLines w:val="0"/>
        <w:pageBreakBefore w:val="0"/>
        <w:widowControl w:val="0"/>
        <w:numPr>
          <w:numId w:val="0"/>
        </w:numPr>
        <w:kinsoku/>
        <w:wordWrap/>
        <w:overflowPunct/>
        <w:topLinePunct w:val="0"/>
        <w:autoSpaceDE/>
        <w:autoSpaceDN/>
        <w:bidi w:val="0"/>
        <w:adjustRightInd/>
        <w:spacing w:line="360" w:lineRule="auto"/>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人才培养和创新团队建设项目。此项目主要围绕人才引进（培养）、教师干部培训及师德师风建设三个模块开展。通过该项目的建设，</w:t>
      </w:r>
      <w:r>
        <w:rPr>
          <w:rFonts w:hint="eastAsia" w:ascii="仿宋_GB2312" w:eastAsia="仿宋_GB2312"/>
          <w:sz w:val="32"/>
          <w:szCs w:val="32"/>
        </w:rPr>
        <w:t>推进师德师风建设工作计划，努力培养造就一支师德高尚、业务精湛、结构合理、充满活力的高素质专业化高校教师队伍</w:t>
      </w:r>
      <w:r>
        <w:rPr>
          <w:rStyle w:val="10"/>
          <w:rFonts w:hint="eastAsia"/>
          <w:lang w:eastAsia="zh-CN"/>
        </w:rPr>
        <w:t>；</w:t>
      </w:r>
      <w:r>
        <w:rPr>
          <w:rFonts w:hint="eastAsia" w:ascii="Times New Roman" w:hAnsi="Times New Roman" w:eastAsia="仿宋_GB2312" w:cs="宋体"/>
          <w:color w:val="000000"/>
          <w:kern w:val="0"/>
          <w:sz w:val="32"/>
          <w:szCs w:val="32"/>
          <w:lang w:val="en-US" w:eastAsia="zh-CN"/>
        </w:rPr>
        <w:t>引进人才，办理人才手续，培养和提高教师队伍的专业素养，采取外引与内培相结合的方式大力引进和培养人才，完善引才机制，提升人才服务水平，努力为学校转型发展提供有力的人才支撑、政策支撑和服务保障</w:t>
      </w:r>
      <w:r>
        <w:rPr>
          <w:rFonts w:hint="eastAsia"/>
          <w:lang w:eastAsia="zh-CN"/>
        </w:rPr>
        <w:t>。</w:t>
      </w:r>
    </w:p>
    <w:p>
      <w:pPr>
        <w:keepNext w:val="0"/>
        <w:keepLines w:val="0"/>
        <w:pageBreakBefore w:val="0"/>
        <w:widowControl w:val="0"/>
        <w:numPr>
          <w:numId w:val="0"/>
        </w:numPr>
        <w:kinsoku/>
        <w:wordWrap/>
        <w:overflowPunct/>
        <w:topLinePunct w:val="0"/>
        <w:autoSpaceDE/>
        <w:autoSpaceDN/>
        <w:bidi w:val="0"/>
        <w:adjustRightInd/>
        <w:spacing w:line="360" w:lineRule="auto"/>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公共服务体系建设项目。该</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rPr>
        <w:t>目主要用于后</w:t>
      </w:r>
      <w:r>
        <w:rPr>
          <w:rFonts w:ascii="Times New Roman" w:hAnsi="Times New Roman" w:eastAsia="仿宋_GB2312" w:cs="Times New Roman"/>
          <w:sz w:val="32"/>
          <w:szCs w:val="32"/>
        </w:rPr>
        <w:t>勤服务保障</w:t>
      </w:r>
      <w:r>
        <w:rPr>
          <w:rFonts w:hint="eastAsia" w:ascii="Times New Roman" w:hAnsi="Times New Roman" w:eastAsia="仿宋_GB2312" w:cs="Times New Roman"/>
          <w:sz w:val="32"/>
          <w:szCs w:val="32"/>
        </w:rPr>
        <w:t>维修项目</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图书馆建设项目、</w:t>
      </w:r>
      <w:r>
        <w:rPr>
          <w:rFonts w:ascii="Times New Roman" w:hAnsi="Times New Roman" w:eastAsia="仿宋_GB2312" w:cs="Times New Roman"/>
          <w:sz w:val="32"/>
          <w:szCs w:val="32"/>
        </w:rPr>
        <w:t>信息化运维项目、实验室安全运行维护、办公设备和家具购置等。通</w:t>
      </w:r>
      <w:r>
        <w:rPr>
          <w:rFonts w:hint="eastAsia" w:ascii="Times New Roman" w:hAnsi="Times New Roman" w:eastAsia="仿宋_GB2312" w:cs="Times New Roman"/>
          <w:sz w:val="32"/>
          <w:szCs w:val="32"/>
        </w:rPr>
        <w:t>过后勤服务保障维修项目的</w:t>
      </w:r>
      <w:r>
        <w:rPr>
          <w:rFonts w:ascii="Times New Roman" w:hAnsi="Times New Roman" w:eastAsia="仿宋_GB2312" w:cs="Times New Roman"/>
          <w:sz w:val="32"/>
          <w:szCs w:val="32"/>
        </w:rPr>
        <w:t>实施，</w:t>
      </w:r>
      <w:r>
        <w:rPr>
          <w:rFonts w:hint="eastAsia" w:ascii="Times New Roman" w:hAnsi="Times New Roman" w:eastAsia="仿宋_GB2312" w:cs="Times New Roman"/>
          <w:sz w:val="32"/>
          <w:szCs w:val="32"/>
        </w:rPr>
        <w:t>改善了校园环境，优化了学生宿舍环境，解决了三亚校区学生</w:t>
      </w:r>
      <w:r>
        <w:rPr>
          <w:rFonts w:hint="eastAsia" w:ascii="仿宋" w:hAnsi="仿宋" w:eastAsia="仿宋"/>
          <w:sz w:val="32"/>
          <w:szCs w:val="32"/>
        </w:rPr>
        <w:t>用电缴费难、衣物洗晾难等日常难题，改善和提升五指山校区学生居住环境，为学校提供了良好的后勤服务保障</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图书馆建设项目主要用于智慧图书馆平台建设、密集书库及图书购置，</w:t>
      </w:r>
      <w:r>
        <w:rPr>
          <w:rFonts w:ascii="仿宋_GB2312" w:hAnsi="仿宋" w:eastAsia="仿宋_GB2312"/>
          <w:sz w:val="32"/>
          <w:szCs w:val="32"/>
        </w:rPr>
        <w:t>20</w:t>
      </w:r>
      <w:r>
        <w:rPr>
          <w:rFonts w:hint="eastAsia" w:ascii="仿宋_GB2312" w:hAnsi="仿宋" w:eastAsia="仿宋_GB2312"/>
          <w:sz w:val="32"/>
          <w:szCs w:val="32"/>
        </w:rPr>
        <w:t>23</w:t>
      </w:r>
      <w:r>
        <w:rPr>
          <w:rFonts w:ascii="仿宋_GB2312" w:hAnsi="仿宋" w:eastAsia="仿宋_GB2312"/>
          <w:sz w:val="32"/>
          <w:szCs w:val="32"/>
        </w:rPr>
        <w:t>年实际采购</w:t>
      </w:r>
      <w:r>
        <w:rPr>
          <w:rFonts w:hint="eastAsia" w:ascii="仿宋_GB2312" w:hAnsi="仿宋" w:eastAsia="仿宋_GB2312"/>
          <w:bCs/>
          <w:sz w:val="32"/>
          <w:szCs w:val="32"/>
        </w:rPr>
        <w:t>购置中文纸质图书49</w:t>
      </w:r>
      <w:r>
        <w:rPr>
          <w:rFonts w:ascii="仿宋_GB2312" w:hAnsi="仿宋" w:eastAsia="仿宋_GB2312"/>
          <w:bCs/>
          <w:sz w:val="32"/>
          <w:szCs w:val="32"/>
        </w:rPr>
        <w:t>,</w:t>
      </w:r>
      <w:r>
        <w:rPr>
          <w:rFonts w:hint="eastAsia" w:ascii="仿宋_GB2312" w:hAnsi="仿宋" w:eastAsia="仿宋_GB2312"/>
          <w:bCs/>
          <w:sz w:val="32"/>
          <w:szCs w:val="32"/>
        </w:rPr>
        <w:t>761册，</w:t>
      </w:r>
      <w:r>
        <w:rPr>
          <w:rFonts w:ascii="仿宋_GB2312" w:hAnsi="仿宋" w:eastAsia="仿宋_GB2312"/>
          <w:bCs/>
          <w:sz w:val="32"/>
          <w:szCs w:val="32"/>
        </w:rPr>
        <w:t>中</w:t>
      </w:r>
      <w:r>
        <w:rPr>
          <w:rFonts w:hint="eastAsia" w:ascii="仿宋_GB2312" w:hAnsi="仿宋" w:eastAsia="仿宋_GB2312"/>
          <w:bCs/>
          <w:sz w:val="32"/>
          <w:szCs w:val="32"/>
        </w:rPr>
        <w:t>外</w:t>
      </w:r>
      <w:r>
        <w:rPr>
          <w:rFonts w:ascii="仿宋_GB2312" w:hAnsi="仿宋" w:eastAsia="仿宋_GB2312"/>
          <w:bCs/>
          <w:sz w:val="32"/>
          <w:szCs w:val="32"/>
        </w:rPr>
        <w:t>文报</w:t>
      </w:r>
      <w:r>
        <w:rPr>
          <w:rFonts w:hint="eastAsia" w:ascii="仿宋_GB2312" w:hAnsi="仿宋" w:eastAsia="仿宋_GB2312"/>
          <w:bCs/>
          <w:sz w:val="32"/>
          <w:szCs w:val="32"/>
        </w:rPr>
        <w:t>刊1</w:t>
      </w:r>
      <w:r>
        <w:rPr>
          <w:rFonts w:ascii="仿宋_GB2312" w:hAnsi="仿宋" w:eastAsia="仿宋_GB2312"/>
          <w:bCs/>
          <w:sz w:val="32"/>
          <w:szCs w:val="32"/>
        </w:rPr>
        <w:t>,</w:t>
      </w:r>
      <w:r>
        <w:rPr>
          <w:rFonts w:hint="eastAsia" w:ascii="仿宋_GB2312" w:hAnsi="仿宋" w:eastAsia="仿宋_GB2312"/>
          <w:bCs/>
          <w:sz w:val="32"/>
          <w:szCs w:val="32"/>
        </w:rPr>
        <w:t>780种，电子资源项目共3</w:t>
      </w:r>
      <w:r>
        <w:rPr>
          <w:rFonts w:ascii="仿宋_GB2312" w:hAnsi="仿宋" w:eastAsia="仿宋_GB2312"/>
          <w:bCs/>
          <w:sz w:val="32"/>
          <w:szCs w:val="32"/>
        </w:rPr>
        <w:t>2</w:t>
      </w:r>
      <w:r>
        <w:rPr>
          <w:rFonts w:hint="eastAsia" w:ascii="仿宋_GB2312" w:hAnsi="仿宋" w:eastAsia="仿宋_GB2312"/>
          <w:bCs/>
          <w:sz w:val="32"/>
          <w:szCs w:val="32"/>
        </w:rPr>
        <w:t>个，</w:t>
      </w:r>
      <w:r>
        <w:rPr>
          <w:rFonts w:ascii="仿宋_GB2312" w:hAnsi="仿宋" w:eastAsia="仿宋_GB2312"/>
          <w:sz w:val="32"/>
          <w:szCs w:val="32"/>
        </w:rPr>
        <w:t>借还图书2</w:t>
      </w: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025</w:t>
      </w:r>
      <w:r>
        <w:rPr>
          <w:rFonts w:ascii="仿宋_GB2312" w:hAnsi="仿宋" w:eastAsia="仿宋_GB2312"/>
          <w:sz w:val="32"/>
          <w:szCs w:val="32"/>
        </w:rPr>
        <w:t>册次，接待读者</w:t>
      </w:r>
      <w:r>
        <w:rPr>
          <w:rFonts w:hint="eastAsia" w:ascii="仿宋_GB2312" w:hAnsi="仿宋" w:eastAsia="仿宋_GB2312"/>
          <w:sz w:val="32"/>
          <w:szCs w:val="32"/>
        </w:rPr>
        <w:t>994</w:t>
      </w:r>
      <w:r>
        <w:rPr>
          <w:rFonts w:ascii="仿宋_GB2312" w:hAnsi="仿宋" w:eastAsia="仿宋_GB2312"/>
          <w:sz w:val="32"/>
          <w:szCs w:val="32"/>
        </w:rPr>
        <w:t>,</w:t>
      </w:r>
      <w:r>
        <w:rPr>
          <w:rFonts w:hint="eastAsia" w:ascii="仿宋_GB2312" w:hAnsi="仿宋" w:eastAsia="仿宋_GB2312"/>
          <w:sz w:val="32"/>
          <w:szCs w:val="32"/>
        </w:rPr>
        <w:t>856</w:t>
      </w:r>
      <w:r>
        <w:rPr>
          <w:rFonts w:ascii="仿宋_GB2312" w:hAnsi="仿宋" w:eastAsia="仿宋_GB2312"/>
          <w:sz w:val="32"/>
          <w:szCs w:val="32"/>
        </w:rPr>
        <w:t>人次</w:t>
      </w:r>
      <w:r>
        <w:rPr>
          <w:rFonts w:hint="eastAsia" w:ascii="仿宋_GB2312" w:hAnsi="仿宋" w:eastAsia="仿宋_GB2312"/>
          <w:sz w:val="32"/>
          <w:szCs w:val="32"/>
        </w:rPr>
        <w:t>，2023年电子资源访问量近3</w:t>
      </w:r>
      <w:r>
        <w:rPr>
          <w:rFonts w:ascii="仿宋_GB2312" w:hAnsi="仿宋" w:eastAsia="仿宋_GB2312"/>
          <w:sz w:val="32"/>
          <w:szCs w:val="32"/>
        </w:rPr>
        <w:t>,</w:t>
      </w:r>
      <w:r>
        <w:rPr>
          <w:rFonts w:hint="eastAsia" w:ascii="仿宋_GB2312" w:hAnsi="仿宋" w:eastAsia="仿宋_GB2312"/>
          <w:sz w:val="32"/>
          <w:szCs w:val="32"/>
        </w:rPr>
        <w:t>000万次，电子资源下载量近</w:t>
      </w:r>
      <w:r>
        <w:rPr>
          <w:rFonts w:ascii="仿宋_GB2312" w:hAnsi="仿宋" w:eastAsia="仿宋_GB2312"/>
          <w:sz w:val="32"/>
          <w:szCs w:val="32"/>
        </w:rPr>
        <w:t>22</w:t>
      </w:r>
      <w:r>
        <w:rPr>
          <w:rFonts w:hint="eastAsia" w:ascii="仿宋_GB2312" w:hAnsi="仿宋" w:eastAsia="仿宋_GB2312"/>
          <w:sz w:val="32"/>
          <w:szCs w:val="32"/>
        </w:rPr>
        <w:t>0万次，通过微信、QQ群、邮箱完成读者咨询答疑,为校内外用户提供信息参考、文献传递、查收查引及协助教师科研需求，目前共服务微信群15个，QQ群7个，服务师生共计7</w:t>
      </w:r>
      <w:r>
        <w:rPr>
          <w:rFonts w:ascii="仿宋_GB2312" w:hAnsi="仿宋" w:eastAsia="仿宋_GB2312"/>
          <w:sz w:val="32"/>
          <w:szCs w:val="32"/>
        </w:rPr>
        <w:t>,</w:t>
      </w:r>
      <w:r>
        <w:rPr>
          <w:rFonts w:hint="eastAsia" w:ascii="仿宋_GB2312" w:hAnsi="仿宋" w:eastAsia="仿宋_GB2312"/>
          <w:sz w:val="32"/>
          <w:szCs w:val="32"/>
        </w:rPr>
        <w:t>500多人。</w:t>
      </w:r>
      <w:r>
        <w:rPr>
          <w:rFonts w:hint="eastAsia" w:ascii="仿宋" w:hAnsi="仿宋" w:eastAsia="仿宋" w:cs="仿宋"/>
          <w:bCs/>
          <w:color w:val="000000"/>
          <w:kern w:val="1"/>
          <w:sz w:val="32"/>
          <w:szCs w:val="32"/>
        </w:rPr>
        <w:t>提升了图书馆服务能力和水平，</w:t>
      </w:r>
      <w:r>
        <w:rPr>
          <w:rFonts w:ascii="仿宋" w:hAnsi="仿宋" w:eastAsia="仿宋" w:cs="仿宋"/>
          <w:color w:val="000000"/>
          <w:kern w:val="1"/>
          <w:sz w:val="32"/>
          <w:szCs w:val="32"/>
        </w:rPr>
        <w:t>使得平台系统安全性、便捷性、大幅度上升，读者借阅图书更加智能化、智慧化，大数据综合展示平台给读者提供的多样化的服务信息，产生了良好的社会效益</w:t>
      </w:r>
      <w:r>
        <w:rPr>
          <w:rFonts w:hint="eastAsia" w:ascii="仿宋" w:hAnsi="仿宋" w:eastAsia="仿宋" w:cs="仿宋"/>
          <w:color w:val="000000"/>
          <w:kern w:val="1"/>
          <w:sz w:val="32"/>
          <w:szCs w:val="32"/>
        </w:rPr>
        <w:t>。</w:t>
      </w:r>
      <w:r>
        <w:rPr>
          <w:rFonts w:ascii="仿宋" w:hAnsi="仿宋" w:eastAsia="仿宋" w:cs="仿宋"/>
          <w:color w:val="000000"/>
          <w:kern w:val="1"/>
          <w:sz w:val="32"/>
          <w:szCs w:val="32"/>
        </w:rPr>
        <w:t>信息化运行保障涉及的执行内容主要有：</w:t>
      </w:r>
      <w:r>
        <w:rPr>
          <w:rFonts w:hint="eastAsia" w:ascii="仿宋" w:hAnsi="仿宋" w:eastAsia="仿宋" w:cs="仿宋"/>
          <w:color w:val="000000"/>
          <w:kern w:val="1"/>
          <w:sz w:val="32"/>
          <w:szCs w:val="32"/>
        </w:rPr>
        <w:t>教育网200M带宽IPv4教育科研与计算机网络接入服务、</w:t>
      </w:r>
      <w:r>
        <w:rPr>
          <w:rFonts w:hint="eastAsia" w:ascii="仿宋_GB2312" w:hAnsi="仿宋" w:eastAsia="仿宋_GB2312"/>
          <w:sz w:val="32"/>
          <w:szCs w:val="32"/>
        </w:rPr>
        <w:t>1G带宽移动数据线路、校园邮箱托管服务、拓尔思站群维保服务、卡巴斯基杀毒软件许可费等。2023年信息化运维完成了校园网的运维保障及各个业务系统的信息安全保障，继续租赁重要线路以保证网络的通畅，特别是中国教育科研网的租赁，该网络是</w:t>
      </w:r>
      <w:r>
        <w:rPr>
          <w:rFonts w:ascii="仿宋_GB2312" w:hAnsi="仿宋" w:eastAsia="仿宋_GB2312"/>
          <w:sz w:val="32"/>
          <w:szCs w:val="32"/>
        </w:rPr>
        <w:t>我国开展现代远程教育的重要平台</w:t>
      </w:r>
      <w:r>
        <w:rPr>
          <w:rFonts w:hint="eastAsia" w:ascii="仿宋_GB2312" w:hAnsi="仿宋" w:eastAsia="仿宋_GB2312"/>
          <w:sz w:val="32"/>
          <w:szCs w:val="32"/>
        </w:rPr>
        <w:t>，是</w:t>
      </w:r>
      <w:r>
        <w:rPr>
          <w:rFonts w:ascii="仿宋_GB2312" w:hAnsi="仿宋" w:eastAsia="仿宋_GB2312"/>
          <w:sz w:val="32"/>
          <w:szCs w:val="32"/>
        </w:rPr>
        <w:t>我国互联网研究的排头兵</w:t>
      </w:r>
      <w:r>
        <w:rPr>
          <w:rFonts w:hint="eastAsia" w:ascii="仿宋_GB2312" w:hAnsi="仿宋" w:eastAsia="仿宋_GB2312"/>
          <w:sz w:val="32"/>
          <w:szCs w:val="32"/>
        </w:rPr>
        <w:t>，</w:t>
      </w:r>
      <w:r>
        <w:rPr>
          <w:rFonts w:ascii="仿宋_GB2312" w:hAnsi="仿宋" w:eastAsia="仿宋_GB2312"/>
          <w:sz w:val="32"/>
          <w:szCs w:val="32"/>
        </w:rPr>
        <w:t>还是中国开展</w:t>
      </w:r>
      <w:r>
        <w:fldChar w:fldCharType="begin"/>
      </w:r>
      <w:r>
        <w:instrText xml:space="preserve"> HYPERLINK "https://baike.baidu.com/item/%E4%B8%8B%E4%B8%80%E4%BB%A3%E4%BA%92%E8%81%94%E7%BD%91" \t "_blank" </w:instrText>
      </w:r>
      <w:r>
        <w:fldChar w:fldCharType="separate"/>
      </w:r>
      <w:r>
        <w:rPr>
          <w:rFonts w:ascii="仿宋_GB2312" w:hAnsi="仿宋" w:eastAsia="仿宋_GB2312"/>
          <w:sz w:val="32"/>
          <w:szCs w:val="32"/>
        </w:rPr>
        <w:t>下一代互联网</w:t>
      </w:r>
      <w:r>
        <w:rPr>
          <w:rFonts w:ascii="仿宋_GB2312" w:hAnsi="仿宋" w:eastAsia="仿宋_GB2312"/>
          <w:sz w:val="32"/>
          <w:szCs w:val="32"/>
        </w:rPr>
        <w:fldChar w:fldCharType="end"/>
      </w:r>
      <w:r>
        <w:rPr>
          <w:rFonts w:ascii="仿宋_GB2312" w:hAnsi="仿宋" w:eastAsia="仿宋_GB2312"/>
          <w:sz w:val="32"/>
          <w:szCs w:val="32"/>
        </w:rPr>
        <w:t>研究的试验网络</w:t>
      </w:r>
      <w:r>
        <w:rPr>
          <w:rFonts w:hint="eastAsia" w:ascii="仿宋_GB2312" w:hAnsi="仿宋" w:eastAsia="仿宋_GB2312"/>
          <w:sz w:val="32"/>
          <w:szCs w:val="32"/>
        </w:rPr>
        <w:t>，我校还是该网络的三亚城市节点；移动网络专线的租赁，承担了三亚校区和五指山校区网络的互联互通，解决了五指山校区互联网出口和线上教学办公的难题；及时添置设备确保了教学活动的开展，解决了因设备老化和经常性故障影响教学活动在多媒体教室的正常开展。</w:t>
      </w:r>
      <w:r>
        <w:rPr>
          <w:rFonts w:ascii="Times New Roman" w:hAnsi="Times New Roman" w:eastAsia="仿宋_GB2312" w:cs="Times New Roman"/>
          <w:sz w:val="32"/>
          <w:szCs w:val="32"/>
        </w:rPr>
        <w:t>通过实验室安全运行维护等项目的实施，</w:t>
      </w:r>
      <w:r>
        <w:rPr>
          <w:rFonts w:hint="eastAsia" w:eastAsia="仿宋_GB2312"/>
          <w:color w:val="000000" w:themeColor="text1"/>
          <w:sz w:val="32"/>
          <w:szCs w:val="32"/>
          <w14:textFill>
            <w14:solidFill>
              <w14:schemeClr w14:val="tx1"/>
            </w14:solidFill>
          </w14:textFill>
        </w:rPr>
        <w:t>有序推进实验耗材集中或分散购置，顺利完成实验室耗材采购工作，保障各学院的实验（训）耗材教学需求，确保实验室安全运行及各类实验（践）教学和学生毕业论文顺利进行</w:t>
      </w:r>
      <w:r>
        <w:rPr>
          <w:rFonts w:hint="eastAsia" w:ascii="Times New Roman" w:hAnsi="Times New Roman" w:eastAsia="仿宋_GB2312" w:cs="Times New Roman"/>
          <w:sz w:val="32"/>
          <w:szCs w:val="32"/>
        </w:rPr>
        <w:t>。</w:t>
      </w:r>
    </w:p>
    <w:p>
      <w:pPr>
        <w:keepNext w:val="0"/>
        <w:keepLines w:val="0"/>
        <w:pageBreakBefore w:val="0"/>
        <w:widowControl w:val="0"/>
        <w:numPr>
          <w:numId w:val="0"/>
        </w:numPr>
        <w:kinsoku/>
        <w:wordWrap/>
        <w:overflowPunct/>
        <w:topLinePunct w:val="0"/>
        <w:autoSpaceDE/>
        <w:autoSpaceDN/>
        <w:bidi w:val="0"/>
        <w:adjustRightInd/>
        <w:spacing w:line="360" w:lineRule="auto"/>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学生创新发展专项。该专项主要包括第二课堂建设（学生社团活动、志愿服务、校园文化活动等）、基层团组织建设、社会实践与创新创业三大板块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三大板块其中涵盖：学生社团建设，结合第二课堂体系建设开展学生社团建设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创新创业活动，结合学术科技创新竞赛，开展“挑战杯”、“全国机器人大赛”“中美创客”等校级赛事，并选送优秀作品参加省级、国家级比赛</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大学生文体活动、海洋素质教育活动平台搭建，结合重大节日开展文艺晚会，才艺秀、开展海洋文化节，海洋科普展活动，海洋日主题宣传、海洋知识进校园活动，海洋知识竞赛等活动</w:t>
      </w:r>
      <w:r>
        <w:rPr>
          <w:rFonts w:hint="eastAsia" w:ascii="Times New Roman" w:hAnsi="Times New Roman" w:eastAsia="仿宋_GB2312" w:cs="Times New Roman"/>
          <w:sz w:val="32"/>
          <w:szCs w:val="32"/>
        </w:rPr>
        <w:t>，是</w:t>
      </w:r>
      <w:r>
        <w:rPr>
          <w:rFonts w:ascii="Times New Roman" w:hAnsi="Times New Roman" w:eastAsia="仿宋_GB2312" w:cs="Times New Roman"/>
          <w:sz w:val="32"/>
          <w:szCs w:val="32"/>
        </w:rPr>
        <w:t>一个大学生参与科学研究与发明创造的主动性和积极性，激发大学生的科研兴趣、创新思维和创新意识，强化创新创业能力实践训练项目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通过该项目的实施，大学生在项目的管理能力、技术应用能力、协同能力、创新创</w:t>
      </w:r>
      <w:r>
        <w:rPr>
          <w:rFonts w:hint="eastAsia" w:ascii="Times New Roman" w:hAnsi="Times New Roman" w:eastAsia="仿宋_GB2312" w:cs="Times New Roman"/>
          <w:sz w:val="32"/>
          <w:szCs w:val="32"/>
        </w:rPr>
        <w:t>业</w:t>
      </w:r>
      <w:r>
        <w:rPr>
          <w:rFonts w:ascii="Times New Roman" w:hAnsi="Times New Roman" w:eastAsia="仿宋_GB2312" w:cs="Times New Roman"/>
          <w:sz w:val="32"/>
          <w:szCs w:val="32"/>
        </w:rPr>
        <w:t>能力实践方面都得到一定的训练，也将使学生在创新创业活动以及产、学、研一体化方面的能力得到较好的提升。</w:t>
      </w:r>
      <w:r>
        <w:rPr>
          <w:rFonts w:hint="eastAsia" w:ascii="Times New Roman" w:hAnsi="Times New Roman" w:eastAsia="仿宋_GB2312" w:cs="Times New Roman"/>
          <w:sz w:val="32"/>
          <w:szCs w:val="32"/>
        </w:rPr>
        <w:t>2023年</w:t>
      </w:r>
      <w:r>
        <w:rPr>
          <w:rFonts w:ascii="Times New Roman" w:hAnsi="Times New Roman" w:eastAsia="仿宋_GB2312" w:cs="Times New Roman"/>
          <w:sz w:val="32"/>
          <w:szCs w:val="32"/>
        </w:rPr>
        <w:t>共开展校园文化活动321项，主题教育实践专题活动3,752次，主题团日活动5,485次，主题宣讲89场，制作视频、微电影25部，成立实践团队校级立项实践团队100支，培训青年团干3,000余人，参与科技创新活动的学生人数8,000余人次，建立志愿服务、社会实践、社区实践基地10个，发起各类志愿服务项目1,351项</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通过一系列校园文化活动，2023年我校毕业生学社衔接完成率99.4%。学生会（研究生会）组织深化改革工作100%落实。志愿服务参与人次21,321名，总志愿服务时长47181.09小时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团团微就业帮扶率100%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社会实践荣获2023年全国“优秀单位”。全年共发布各类正能量短视频212条，播放量约4,000万次，转发收藏量约为11万次，留言约11万条，短视频作品点赞量达85,408次。微信公众号关注人数38,684人，粉丝数位于海南高校抖音官方账号第二名，三亚市高校第一名。</w:t>
      </w:r>
    </w:p>
    <w:p>
      <w:pPr>
        <w:keepNext w:val="0"/>
        <w:keepLines w:val="0"/>
        <w:pageBreakBefore w:val="0"/>
        <w:widowControl w:val="0"/>
        <w:numPr>
          <w:numId w:val="0"/>
        </w:numPr>
        <w:kinsoku/>
        <w:wordWrap/>
        <w:overflowPunct/>
        <w:topLinePunct w:val="0"/>
        <w:autoSpaceDE/>
        <w:autoSpaceDN/>
        <w:bidi w:val="0"/>
        <w:adjustRightInd/>
        <w:spacing w:line="360" w:lineRule="auto"/>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学科、硕士学位点建设。学位点的建设包括学科特色凝练、人才培养方案的论证、课程与教学的建设、科学研究、学术交流、支撑条件建设等。通过该项目的实施，使得学校在教学内容、实验条件、教学水平等方面得到全面提升，是学校提高办学水平和办学层次的重要方式。</w:t>
      </w:r>
      <w:r>
        <w:rPr>
          <w:rFonts w:hint="eastAsia" w:ascii="Times New Roman" w:hAnsi="Times New Roman" w:eastAsia="仿宋_GB2312" w:cs="Times New Roman"/>
          <w:sz w:val="32"/>
          <w:szCs w:val="32"/>
        </w:rPr>
        <w:t>2023年，我校共有旅游管理、社会工作、资源与环境、海洋科学、水产、国际中文教育、博物馆、电子信息、生物与医药等11个硕士点，另新增立项建设博士学位授予单位，新增立项建设海洋科学、水产、工商管理等3个一级学科博士点，新增立项建设民族学、马克思主义理论、中国语言文学、生态学、信息与通信工程、食品科学与工程、软件工程、网络空间安全、工商管理学等9个一级学科硕士点，新增立项建设翻译、新闻与传播、材料与化工、教育、体育、农业等6个专业学位硕士点。</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教学业务专项。该专项主要包括</w:t>
      </w:r>
      <w:r>
        <w:rPr>
          <w:rFonts w:hint="eastAsia" w:ascii="Times New Roman" w:hAnsi="Times New Roman" w:eastAsia="仿宋_GB2312" w:cs="Times New Roman"/>
          <w:sz w:val="32"/>
          <w:szCs w:val="32"/>
        </w:rPr>
        <w:t>行业企业课程资源库和真实项目案例库课程建设、微专业、知识图谱、实验室实验室视频监控项目</w:t>
      </w:r>
      <w:r>
        <w:rPr>
          <w:rFonts w:ascii="Times New Roman" w:hAnsi="Times New Roman" w:eastAsia="仿宋_GB2312" w:cs="Times New Roman"/>
          <w:sz w:val="32"/>
          <w:szCs w:val="32"/>
        </w:rPr>
        <w:t>及</w:t>
      </w:r>
      <w:r>
        <w:rPr>
          <w:rFonts w:hint="eastAsia" w:ascii="Times New Roman" w:hAnsi="Times New Roman" w:eastAsia="仿宋_GB2312" w:cs="Times New Roman"/>
          <w:sz w:val="32"/>
          <w:szCs w:val="32"/>
        </w:rPr>
        <w:t>本科教育教学审核评估工作运转</w:t>
      </w:r>
      <w:r>
        <w:rPr>
          <w:rFonts w:ascii="Times New Roman" w:hAnsi="Times New Roman" w:eastAsia="仿宋_GB2312" w:cs="Times New Roman"/>
          <w:sz w:val="32"/>
          <w:szCs w:val="32"/>
        </w:rPr>
        <w:t>等项目。</w:t>
      </w:r>
      <w:r>
        <w:rPr>
          <w:rFonts w:hint="eastAsia" w:ascii="Times New Roman" w:hAnsi="Times New Roman" w:eastAsia="仿宋_GB2312" w:cs="Times New Roman"/>
          <w:sz w:val="32"/>
          <w:szCs w:val="32"/>
        </w:rPr>
        <w:t>通过行业企业课程资源库和真实项目案例库课程建设，</w:t>
      </w:r>
      <w:r>
        <w:rPr>
          <w:rFonts w:hint="eastAsia" w:ascii="仿宋_GB2312" w:hAnsi="宋体" w:eastAsia="仿宋_GB2312" w:cs="宋体"/>
          <w:color w:val="000000"/>
          <w:kern w:val="0"/>
          <w:sz w:val="32"/>
          <w:szCs w:val="32"/>
        </w:rPr>
        <w:t>共产出15门校企共建课程资源库，10门真实项目案例库和2门虚拟仿真实验课程，可以很好的解决实实验条件不具备或实际运行困难问题，涉及高危或极端环境，高成本、高消耗、不可逆操作、大型综合训练等项目开展，还为广大学生提供了好的校企合作课程，提高了学生的实践能力，保证了实验教学质量；微专业及基于微专业的知识图谱的开展，</w:t>
      </w:r>
      <w:r>
        <w:rPr>
          <w:rFonts w:hint="eastAsia" w:ascii="仿宋" w:hAnsi="仿宋" w:eastAsia="仿宋" w:cs="仿宋_GB2312"/>
          <w:sz w:val="32"/>
          <w:szCs w:val="32"/>
        </w:rPr>
        <w:t>有效弥补大学专业划分过细、口径过窄及培养周期过长等问题，提升专业培养与就业职业发展需求之间的匹配度，首批建设2个微专业单独编班组织教学，</w:t>
      </w:r>
      <w:r>
        <w:rPr>
          <w:rFonts w:hint="eastAsia" w:ascii="仿宋" w:hAnsi="仿宋" w:eastAsia="仿宋" w:cs="仿宋"/>
          <w:kern w:val="0"/>
          <w:sz w:val="30"/>
          <w:szCs w:val="30"/>
        </w:rPr>
        <w:t>实现人才培养与社会、行业需求的匹配，响应审核评估的指标要求，</w:t>
      </w:r>
      <w:r>
        <w:rPr>
          <w:rFonts w:hint="eastAsia" w:ascii="仿宋_GB2312" w:hAnsi="仿宋_GB2312" w:eastAsia="仿宋_GB2312" w:cs="仿宋_GB2312"/>
          <w:sz w:val="31"/>
          <w:szCs w:val="31"/>
        </w:rPr>
        <w:t>结合微专业建设项目，建设基于微专业的关联知识图谱，</w:t>
      </w:r>
      <w:r>
        <w:rPr>
          <w:rFonts w:hint="eastAsia" w:ascii="仿宋_GB2312" w:hAnsi="仿宋_GB2312" w:eastAsia="仿宋_GB2312" w:cs="仿宋_GB2312"/>
          <w:kern w:val="0"/>
          <w:sz w:val="31"/>
          <w:szCs w:val="31"/>
          <w:lang w:bidi="ar"/>
        </w:rPr>
        <w:t>开启智慧教学新形态，辅助</w:t>
      </w:r>
      <w:r>
        <w:rPr>
          <w:rFonts w:ascii="仿宋_GB2312" w:hAnsi="仿宋_GB2312" w:eastAsia="仿宋_GB2312" w:cs="仿宋_GB2312"/>
          <w:kern w:val="0"/>
          <w:sz w:val="31"/>
          <w:szCs w:val="31"/>
          <w:lang w:bidi="ar"/>
        </w:rPr>
        <w:t>一流专业建设，提高专业核心课程教学质量和水平</w:t>
      </w:r>
      <w:r>
        <w:rPr>
          <w:rFonts w:hint="eastAsia" w:ascii="仿宋" w:hAnsi="仿宋" w:eastAsia="仿宋" w:cs="仿宋"/>
          <w:kern w:val="0"/>
          <w:sz w:val="30"/>
          <w:szCs w:val="30"/>
        </w:rPr>
        <w:t>；实验室实验室视频监控的建设共安装监控位置于8栋教学楼，共计改造57间实验室，285个监控点位，圆满完成本项目审核评估专家的需求，实现实验课线上听课功能；</w:t>
      </w:r>
      <w:r>
        <w:rPr>
          <w:rFonts w:ascii="Times New Roman" w:hAnsi="Times New Roman" w:eastAsia="仿宋_GB2312" w:cs="Times New Roman"/>
          <w:sz w:val="32"/>
          <w:szCs w:val="32"/>
        </w:rPr>
        <w:t>通过一流本科课程建设项目的实施，</w:t>
      </w:r>
      <w:r>
        <w:rPr>
          <w:rFonts w:hint="eastAsia" w:ascii="仿宋" w:hAnsi="仿宋" w:eastAsia="仿宋" w:cs="仿宋"/>
          <w:sz w:val="30"/>
          <w:szCs w:val="30"/>
        </w:rPr>
        <w:t>获推荐申报第三批国家级一流本科课程9门，校级精品在线开放课程6门，校级一流本科课程10门</w:t>
      </w:r>
      <w:r>
        <w:rPr>
          <w:rFonts w:ascii="Times New Roman" w:hAnsi="Times New Roman" w:eastAsia="仿宋_GB2312" w:cs="Times New Roman"/>
          <w:sz w:val="32"/>
          <w:szCs w:val="32"/>
        </w:rPr>
        <w:t>，促进了现代信息技术和教育教学深度融合，使得优秀的课程资源得到共享，鼓励教师应用翻转课堂、混合式教学等教学模式，打造在线课程与本校课堂教学相融合的混合式“金课”，助推课堂教学改革并起到示范带动作用；</w:t>
      </w:r>
      <w:r>
        <w:rPr>
          <w:rFonts w:hint="eastAsia" w:ascii="Times New Roman" w:hAnsi="Times New Roman" w:eastAsia="仿宋_GB2312" w:cs="Times New Roman"/>
          <w:sz w:val="32"/>
          <w:szCs w:val="32"/>
        </w:rPr>
        <w:t>此外2023年校级课程思政示范项目</w:t>
      </w:r>
      <w:r>
        <w:rPr>
          <w:rFonts w:hint="eastAsia" w:ascii="仿宋_GB2312" w:hAnsi="宋体" w:eastAsia="仿宋_GB2312" w:cs="宋体"/>
          <w:kern w:val="0"/>
          <w:sz w:val="32"/>
          <w:szCs w:val="32"/>
        </w:rPr>
        <w:t>共产出28门课程思政示范课程、15个课程思政示范案例，</w:t>
      </w:r>
      <w:r>
        <w:rPr>
          <w:rFonts w:hint="eastAsia" w:ascii="仿宋_GB2312" w:hAnsi="仿宋" w:eastAsia="仿宋_GB2312"/>
          <w:sz w:val="32"/>
          <w:szCs w:val="32"/>
        </w:rPr>
        <w:t>通过“课程思政”示范项目建设，全面提升教师育人意识，强化教师教书育人主体责任，深度挖掘各课程的思想政治教育元素和所承载的思想政治教育功能，推动广大教师自觉地把知识传授、能力培养与理想信念、价值理念、道德观念教育有机结合，进一步完善课程育人机制，使思想政治教育融入人才培养全过程，构建课程育人新体系。</w:t>
      </w:r>
      <w:r>
        <w:rPr>
          <w:rFonts w:hint="eastAsia" w:ascii="Times New Roman" w:hAnsi="Times New Roman" w:eastAsia="仿宋_GB2312" w:cs="Times New Roman"/>
          <w:sz w:val="32"/>
          <w:szCs w:val="32"/>
        </w:rPr>
        <w:t>审核评估工作运转项目资金</w:t>
      </w:r>
      <w:r>
        <w:rPr>
          <w:rFonts w:hint="eastAsia" w:ascii="仿宋_GB2312" w:hAnsi="仿宋" w:eastAsia="仿宋_GB2312"/>
          <w:sz w:val="32"/>
          <w:szCs w:val="32"/>
        </w:rPr>
        <w:t>主要用于审核评估各项工作运转，包括开展诊断性审核评估（专项）、审核评估专项（专项），通过前期本科教育教学审核评估的诊断性评估、邀请专家进校指导，派员外出学习取经等相关活动，进一步明确审核评估评建各项工作任务,为正式迎接审核评估专家组线上评估和入校考察奠定良好基础，高质量顺利完成审核评估专家组考察环节，获得专家组的充分肯定。通过审核评估,促进学校办学合理定位,进一步强化内涵建设,突出特色发展,健全内部质量保障体系,提高办学水平和人才培养质量。</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（二）项目管理情况（包括项目管理制度建设、日常检查监督等情况）</w:t>
      </w:r>
    </w:p>
    <w:p>
      <w:pPr>
        <w:pStyle w:val="3"/>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eastAsia" w:ascii="仿宋" w:hAnsi="仿宋" w:eastAsia="仿宋" w:cs="仿宋"/>
          <w:b w:val="0"/>
          <w:bCs/>
          <w:kern w:val="2"/>
          <w:sz w:val="32"/>
          <w:szCs w:val="32"/>
          <w:highlight w:val="none"/>
          <w:lang w:val="en-US" w:eastAsia="zh-CN" w:bidi="ar-SA"/>
        </w:rPr>
      </w:pPr>
      <w:r>
        <w:rPr>
          <w:rFonts w:hint="eastAsia" w:ascii="仿宋" w:hAnsi="仿宋" w:eastAsia="仿宋" w:cs="仿宋"/>
          <w:b w:val="0"/>
          <w:bCs/>
          <w:kern w:val="2"/>
          <w:sz w:val="32"/>
          <w:szCs w:val="32"/>
          <w:highlight w:val="none"/>
          <w:lang w:val="en-US" w:eastAsia="zh-CN" w:bidi="ar-SA"/>
        </w:rPr>
        <w:t>本项目目标设定依据充分、明确、合理，项目建设符合省委、省政府相关规定。项目实施过程中，充分结合实际情况，实现了项目管理与过程管理的有机结合。</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val="en-US" w:eastAsia="zh-CN"/>
        </w:rPr>
      </w:pPr>
      <w:r>
        <w:rPr>
          <w:rFonts w:hint="eastAsia" w:ascii="仿宋" w:hAnsi="仿宋" w:eastAsia="仿宋" w:cs="仿宋"/>
          <w:b w:val="0"/>
          <w:bCs/>
          <w:sz w:val="32"/>
          <w:szCs w:val="32"/>
          <w:highlight w:val="none"/>
          <w:lang w:eastAsia="zh-CN"/>
        </w:rPr>
        <w:t>为确保财政资金的使用安全，我校</w:t>
      </w:r>
      <w:r>
        <w:rPr>
          <w:rFonts w:hint="eastAsia" w:ascii="仿宋" w:hAnsi="仿宋" w:eastAsia="仿宋" w:cs="仿宋"/>
          <w:b w:val="0"/>
          <w:bCs/>
          <w:sz w:val="32"/>
          <w:szCs w:val="32"/>
          <w:highlight w:val="none"/>
          <w:lang w:val="en-US" w:eastAsia="zh-CN"/>
        </w:rPr>
        <w:t>严格按照学校相关规章制度进行项目管理，如</w:t>
      </w:r>
      <w:r>
        <w:rPr>
          <w:rFonts w:hint="eastAsia" w:ascii="仿宋" w:hAnsi="仿宋" w:eastAsia="仿宋" w:cs="仿宋"/>
          <w:b w:val="0"/>
          <w:bCs/>
          <w:sz w:val="32"/>
          <w:szCs w:val="32"/>
          <w:highlight w:val="none"/>
          <w:lang w:eastAsia="zh-CN"/>
        </w:rPr>
        <w:t>《海南省高等学校发展专项资金管理暂行办法》、《海南省高校教育教学改革研究项目管理办法》、《海南热带海洋学院教学建设与改革项目经费使用管理办法（试行）》</w:t>
      </w:r>
      <w:r>
        <w:rPr>
          <w:rFonts w:hint="eastAsia" w:ascii="仿宋" w:hAnsi="仿宋" w:eastAsia="仿宋" w:cs="仿宋"/>
          <w:b w:val="0"/>
          <w:bCs/>
          <w:sz w:val="32"/>
          <w:szCs w:val="32"/>
          <w:highlight w:val="none"/>
          <w:lang w:val="en-US" w:eastAsia="zh-CN"/>
        </w:rPr>
        <w:t>《海南热带海洋学院教材管理办法（修订）》</w:t>
      </w:r>
      <w:r>
        <w:rPr>
          <w:rFonts w:hint="eastAsia" w:ascii="仿宋" w:hAnsi="仿宋" w:eastAsia="仿宋" w:cs="仿宋"/>
          <w:b w:val="0"/>
          <w:bCs/>
          <w:sz w:val="32"/>
          <w:szCs w:val="32"/>
          <w:highlight w:val="none"/>
          <w:lang w:eastAsia="zh-CN"/>
        </w:rPr>
        <w:t>《海南热带海洋学院在线开放课程建设管理办法（试行）》、《海南热带海洋学院教学建设与改革项目经费使用管理办法（试行）》《海南热带海洋学院经费支出审批办法（试行）》</w:t>
      </w:r>
      <w:r>
        <w:rPr>
          <w:rFonts w:hint="eastAsia" w:ascii="仿宋" w:hAnsi="仿宋" w:eastAsia="仿宋" w:cs="仿宋"/>
          <w:kern w:val="0"/>
          <w:sz w:val="32"/>
          <w:szCs w:val="32"/>
        </w:rPr>
        <w:t>《海南热带海洋学院财务报账实施细则（试行）》</w:t>
      </w:r>
      <w:r>
        <w:rPr>
          <w:rFonts w:hint="eastAsia" w:ascii="仿宋" w:hAnsi="仿宋" w:eastAsia="仿宋" w:cs="仿宋"/>
          <w:b w:val="0"/>
          <w:bCs/>
          <w:sz w:val="32"/>
          <w:szCs w:val="32"/>
          <w:highlight w:val="none"/>
          <w:lang w:eastAsia="zh-CN"/>
        </w:rPr>
        <w:t>《海南热带海洋学院仪器设备采购管理办法》等等，</w:t>
      </w:r>
      <w:r>
        <w:rPr>
          <w:rFonts w:hint="eastAsia" w:ascii="仿宋" w:hAnsi="仿宋" w:eastAsia="仿宋" w:cs="仿宋"/>
          <w:b w:val="0"/>
          <w:bCs/>
          <w:sz w:val="32"/>
          <w:szCs w:val="32"/>
          <w:highlight w:val="none"/>
          <w:lang w:val="en-US" w:eastAsia="zh-CN"/>
        </w:rPr>
        <w:t>所有具体项目分工明确，决策、执行、监督相互独立。</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val="en-US" w:eastAsia="zh-CN"/>
        </w:rPr>
        <w:t>2023年该项目所有资金支出均严格按照程序规范管理。严格经过相应层级审核，资金拨付严格审批程序，确保资金支付安全、合规、合法，使用规范，保证资金专款专用，会计核算结果真实、准确。此次绩效评价过程中未发现有截留、挤占或挪用项目资金的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涉及达到定额的国有资产设备采购，均按相关要求进行政府招投标。实施过程都是按照本单位制定的管理制度和国家有关政策执行，并按要求提交材料进行年度考核。对设备定期巡检，确保硬件、软件系统正常运行，涉及故障发生时及时联系运维公司开展检查和修复工作。</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0"/>
        <w:rPr>
          <w:rFonts w:hint="eastAsia" w:ascii="仿宋" w:hAnsi="仿宋" w:eastAsia="仿宋" w:cs="仿宋"/>
          <w:b w:val="0"/>
          <w:bCs/>
          <w:sz w:val="32"/>
          <w:szCs w:val="32"/>
          <w:highlight w:val="none"/>
          <w:lang w:eastAsia="zh-CN"/>
        </w:rPr>
      </w:pPr>
      <w:r>
        <w:rPr>
          <w:rFonts w:hint="eastAsia" w:ascii="仿宋" w:hAnsi="仿宋" w:eastAsia="仿宋" w:cs="仿宋"/>
          <w:b w:val="0"/>
          <w:bCs/>
          <w:sz w:val="32"/>
          <w:szCs w:val="32"/>
          <w:highlight w:val="none"/>
          <w:lang w:eastAsia="zh-CN"/>
        </w:rPr>
        <w:t>学校制定了《海南热带海洋学院后勤维修改造项目管理实施细则（试行）》，有详细的工程项目监督管理要求，我校严格按照制度，对项目的现场管理、工程签证、项目验收、项目移交及档案管理、项目保修等进行监督管理。</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黑体" w:hAnsi="黑体" w:eastAsia="黑体" w:cs="黑体"/>
          <w:b w:val="0"/>
          <w:bCs/>
          <w:sz w:val="32"/>
          <w:szCs w:val="32"/>
          <w:highlight w:val="none"/>
          <w:lang w:eastAsia="zh-CN"/>
        </w:rPr>
      </w:pPr>
      <w:r>
        <w:rPr>
          <w:rFonts w:hint="eastAsia" w:ascii="黑体" w:hAnsi="黑体" w:eastAsia="黑体" w:cs="黑体"/>
          <w:b w:val="0"/>
          <w:bCs/>
          <w:sz w:val="32"/>
          <w:szCs w:val="32"/>
          <w:highlight w:val="none"/>
          <w:lang w:eastAsia="zh-CN"/>
        </w:rPr>
        <w:t>四、项目绩效情况</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rPr>
      </w:pPr>
      <w:r>
        <w:rPr>
          <w:rFonts w:ascii="Times New Roman" w:hAnsi="Times New Roman" w:eastAsia="仿宋_GB2312" w:cs="Times New Roman"/>
          <w:sz w:val="32"/>
          <w:szCs w:val="32"/>
          <w:highlight w:val="none"/>
        </w:rPr>
        <w:t>通过支持地方高校改革发</w:t>
      </w:r>
      <w:r>
        <w:rPr>
          <w:rFonts w:ascii="Times New Roman" w:hAnsi="Times New Roman" w:eastAsia="仿宋_GB2312" w:cs="Times New Roman"/>
          <w:sz w:val="32"/>
          <w:szCs w:val="32"/>
        </w:rPr>
        <w:t>展项目的建设，主要达成以下目标：支持学校建设科研平台和实训中心，提高协同创新能力，促进科研成果转换；完善学校学科科研实验条件，提高人才培养能力和科学研究水平；改善学校基本办学条件及公共服务设施条件；拓展多元化补充专任教师通道，促进我校高层次人才队伍的总量稳步增长，师资队伍水平</w:t>
      </w:r>
      <w:r>
        <w:rPr>
          <w:rFonts w:hint="eastAsia" w:ascii="Times New Roman" w:hAnsi="Times New Roman" w:eastAsia="仿宋_GB2312" w:cs="Times New Roman"/>
          <w:sz w:val="32"/>
          <w:szCs w:val="32"/>
        </w:rPr>
        <w:t>得到</w:t>
      </w:r>
      <w:r>
        <w:rPr>
          <w:rFonts w:ascii="Times New Roman" w:hAnsi="Times New Roman" w:eastAsia="仿宋_GB2312" w:cs="Times New Roman"/>
          <w:sz w:val="32"/>
          <w:szCs w:val="32"/>
        </w:rPr>
        <w:t>明显提升；促进学校产、学、研一体化进程，提升我校学生培养质量，培养适应创新型国家建设需要的高水平人才</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ascii="黑体" w:hAnsi="黑体" w:eastAsia="黑体" w:cs="黑体"/>
          <w:b w:val="0"/>
          <w:bCs/>
          <w:sz w:val="32"/>
          <w:szCs w:val="32"/>
          <w:highlight w:val="none"/>
        </w:rPr>
      </w:pPr>
      <w:r>
        <w:rPr>
          <w:rFonts w:hint="eastAsia" w:ascii="黑体" w:hAnsi="黑体" w:eastAsia="黑体" w:cs="黑体"/>
          <w:b w:val="0"/>
          <w:bCs/>
          <w:sz w:val="32"/>
          <w:szCs w:val="32"/>
          <w:highlight w:val="none"/>
        </w:rPr>
        <w:t>五、其他需要说明的问题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我校对</w:t>
      </w:r>
      <w:r>
        <w:rPr>
          <w:rFonts w:ascii="黑体" w:hAnsi="黑体" w:eastAsia="黑体" w:cs="Times New Roman"/>
          <w:sz w:val="32"/>
          <w:szCs w:val="32"/>
        </w:rPr>
        <w:t>2023年</w:t>
      </w:r>
      <w:r>
        <w:rPr>
          <w:rFonts w:ascii="Times New Roman" w:hAnsi="Times New Roman" w:eastAsia="仿宋_GB2312" w:cs="Times New Roman"/>
          <w:sz w:val="32"/>
          <w:szCs w:val="32"/>
        </w:rPr>
        <w:t>支持地方高校改革发展</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资金按照财科教〔2016〕72号</w:t>
      </w:r>
      <w:r>
        <w:rPr>
          <w:rFonts w:hint="eastAsia" w:ascii="Times New Roman" w:hAnsi="Times New Roman" w:eastAsia="仿宋_GB2312" w:cs="Times New Roman"/>
          <w:sz w:val="32"/>
          <w:szCs w:val="32"/>
        </w:rPr>
        <w:t>文件</w:t>
      </w:r>
      <w:r>
        <w:rPr>
          <w:rFonts w:ascii="Times New Roman" w:hAnsi="Times New Roman" w:eastAsia="仿宋_GB2312" w:cs="Times New Roman"/>
          <w:sz w:val="32"/>
          <w:szCs w:val="32"/>
        </w:rPr>
        <w:t>的精神，做到科学规划、合理安排，权责清晰、规范管理，专款专用、注重绩效，各项工作有章可循，资金使用规范、严格、高效。我校2023年支持地方高校改革发展项目按计划推进，进展顺利，基本完成年度绩效目标。办学条件得到改善、办学质量得到提升，人才培养、科学研究、社会服务、文化传承等各方面水平不断提高，更好地服务了地方经济社会发展。但在资金使用管理过</w:t>
      </w:r>
      <w:r>
        <w:rPr>
          <w:rFonts w:ascii="Times New Roman" w:hAnsi="Times New Roman" w:eastAsia="仿宋_GB2312" w:cs="Times New Roman"/>
          <w:b w:val="0"/>
          <w:bCs w:val="0"/>
          <w:sz w:val="32"/>
          <w:szCs w:val="32"/>
          <w:highlight w:val="none"/>
        </w:rPr>
        <w:t>程中，</w:t>
      </w:r>
      <w:r>
        <w:rPr>
          <w:rFonts w:ascii="Times New Roman" w:hAnsi="Times New Roman" w:eastAsia="仿宋_GB2312" w:cs="Times New Roman"/>
          <w:sz w:val="32"/>
          <w:szCs w:val="32"/>
        </w:rPr>
        <w:t>仍然存在一些问题，有待改进，例如</w:t>
      </w:r>
      <w:r>
        <w:rPr>
          <w:rFonts w:hint="eastAsia" w:ascii="Times New Roman" w:hAnsi="Times New Roman" w:eastAsia="仿宋_GB2312" w:cs="Times New Roman"/>
          <w:sz w:val="32"/>
          <w:szCs w:val="32"/>
          <w:lang w:val="en-US" w:eastAsia="zh-CN"/>
        </w:rPr>
        <w:t>我校进行本科审核评估以及申请博士硕士点资金严重不足；</w:t>
      </w:r>
      <w:r>
        <w:rPr>
          <w:rFonts w:ascii="Times New Roman" w:hAnsi="Times New Roman" w:eastAsia="仿宋_GB2312" w:cs="Times New Roman"/>
          <w:sz w:val="32"/>
          <w:szCs w:val="32"/>
        </w:rPr>
        <w:t>通过政府采购购置设备项目在招标、实施、验收等环节周期较长，影响了资金的结算效率；部分项目前期论证工作不够充分，导致资金到位后不能立即开展相关工作，影响</w:t>
      </w:r>
      <w:r>
        <w:rPr>
          <w:rFonts w:ascii="Times New Roman" w:hAnsi="Times New Roman" w:eastAsia="仿宋_GB2312" w:cs="Times New Roman"/>
          <w:color w:val="000000" w:themeColor="text1"/>
          <w:sz w:val="32"/>
          <w:szCs w:val="32"/>
          <w14:textFill>
            <w14:solidFill>
              <w14:schemeClr w14:val="tx1"/>
            </w14:solidFill>
          </w14:textFill>
        </w:rPr>
        <w:t>了</w:t>
      </w:r>
      <w:r>
        <w:rPr>
          <w:rFonts w:hint="eastAsia" w:ascii="Times New Roman" w:hAnsi="Times New Roman" w:eastAsia="仿宋_GB2312" w:cs="Times New Roman"/>
          <w:color w:val="000000" w:themeColor="text1"/>
          <w:sz w:val="32"/>
          <w:szCs w:val="32"/>
          <w14:textFill>
            <w14:solidFill>
              <w14:schemeClr w14:val="tx1"/>
            </w14:solidFill>
          </w14:textFill>
        </w:rPr>
        <w:t>项目</w:t>
      </w:r>
      <w:r>
        <w:rPr>
          <w:rFonts w:ascii="Times New Roman" w:hAnsi="Times New Roman" w:eastAsia="仿宋_GB2312" w:cs="Times New Roman"/>
          <w:sz w:val="32"/>
          <w:szCs w:val="32"/>
        </w:rPr>
        <w:t>资金序时进度要求。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针对以上问题，最主要的对策就是建立健全项目库，规范项目预算管理。做好学校项目储备</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，将前期工作</w:t>
      </w:r>
      <w:r>
        <w:rPr>
          <w:rFonts w:hint="eastAsia" w:ascii="Times New Roman" w:hAnsi="Times New Roman" w:eastAsia="仿宋_GB2312" w:cs="Times New Roman"/>
          <w:sz w:val="32"/>
          <w:szCs w:val="32"/>
        </w:rPr>
        <w:t>准备</w:t>
      </w:r>
      <w:r>
        <w:rPr>
          <w:rFonts w:ascii="Times New Roman" w:hAnsi="Times New Roman" w:eastAsia="仿宋_GB2312" w:cs="Times New Roman"/>
          <w:sz w:val="32"/>
          <w:szCs w:val="32"/>
        </w:rPr>
        <w:t>充分的项目纳入学校项目库申请预算，并按照轻重缓急排序；学校严格审核，将完成可行性研究论证、制定具体实施计划等前期工作且达到条件的纳入学校项目库，坚持项目入库作为预算安排的前提条件，安排预算时从学校项目库中选择符合条件的项目，未纳入的项目一律不安排预算，提升预算管理</w:t>
      </w:r>
      <w:bookmarkStart w:id="0" w:name="_GoBack"/>
      <w:bookmarkEnd w:id="0"/>
      <w:r>
        <w:rPr>
          <w:rFonts w:ascii="Times New Roman" w:hAnsi="Times New Roman" w:eastAsia="仿宋_GB2312" w:cs="Times New Roman"/>
          <w:sz w:val="32"/>
          <w:szCs w:val="32"/>
        </w:rPr>
        <w:t>水平，加快预算资金支出进度。今后学校将克服不足，管好资金、用好资金，使其发挥出最大的效益。</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color w:val="auto"/>
          <w:sz w:val="32"/>
          <w:szCs w:val="32"/>
          <w:highlight w:val="none"/>
        </w:rPr>
      </w:pPr>
    </w:p>
    <w:p>
      <w:pPr>
        <w:spacing w:line="520" w:lineRule="exact"/>
        <w:rPr>
          <w:rFonts w:ascii="Times New Roman" w:hAnsi="Times New Roman" w:eastAsia="仿宋_GB2312" w:cs="Times New Roman"/>
          <w:color w:val="auto"/>
          <w:highlight w:val="none"/>
        </w:rPr>
      </w:pPr>
    </w:p>
    <w:sectPr>
      <w:footerReference r:id="rId3" w:type="default"/>
      <w:footerReference r:id="rId4" w:type="even"/>
      <w:pgSz w:w="11906" w:h="16838"/>
      <w:pgMar w:top="1701" w:right="1474" w:bottom="1531" w:left="1588" w:header="851" w:footer="850"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体 ! important">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3687902"/>
      <w:docPartObj>
        <w:docPartGallery w:val="autotext"/>
      </w:docPartObj>
    </w:sdtPr>
    <w:sdtEndPr>
      <w:rPr>
        <w:rFonts w:asciiTheme="minorEastAsia" w:hAnsiTheme="minorEastAsia"/>
        <w:sz w:val="28"/>
        <w:szCs w:val="28"/>
      </w:rPr>
    </w:sdtEndPr>
    <w:sdtContent>
      <w:p>
        <w:pPr>
          <w:pStyle w:val="5"/>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2006500"/>
      <w:docPartObj>
        <w:docPartGallery w:val="autotext"/>
      </w:docPartObj>
    </w:sdtPr>
    <w:sdtEndPr>
      <w:rPr>
        <w:rFonts w:asciiTheme="minorEastAsia" w:hAnsiTheme="minorEastAsia"/>
        <w:sz w:val="28"/>
        <w:szCs w:val="28"/>
        <w:lang w:val="zh-CN"/>
      </w:rPr>
    </w:sdtEndPr>
    <w:sdtContent>
      <w:p>
        <w:pPr>
          <w:pStyle w:val="5"/>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60843"/>
    <w:multiLevelType w:val="singleLevel"/>
    <w:tmpl w:val="9826084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kYzBmY2VjNTEzZjY2ZjNjN2QwNmMxYWQ5MTIwMWEifQ=="/>
  </w:docVars>
  <w:rsids>
    <w:rsidRoot w:val="2D5E1ED8"/>
    <w:rsid w:val="00055D33"/>
    <w:rsid w:val="00201AC2"/>
    <w:rsid w:val="00427C7E"/>
    <w:rsid w:val="004F1EBA"/>
    <w:rsid w:val="00513BCE"/>
    <w:rsid w:val="005600DF"/>
    <w:rsid w:val="00680CDD"/>
    <w:rsid w:val="00D110A7"/>
    <w:rsid w:val="00DF05D8"/>
    <w:rsid w:val="00EA6B4D"/>
    <w:rsid w:val="03546EEA"/>
    <w:rsid w:val="03F43528"/>
    <w:rsid w:val="063302DF"/>
    <w:rsid w:val="081C4DA3"/>
    <w:rsid w:val="0E8A3350"/>
    <w:rsid w:val="13AC38D7"/>
    <w:rsid w:val="18181E01"/>
    <w:rsid w:val="1BD15EBF"/>
    <w:rsid w:val="1C8D0E8C"/>
    <w:rsid w:val="1D2D3CA1"/>
    <w:rsid w:val="1E206F43"/>
    <w:rsid w:val="27E2526A"/>
    <w:rsid w:val="296368B0"/>
    <w:rsid w:val="2A135C1B"/>
    <w:rsid w:val="2AF06C10"/>
    <w:rsid w:val="2B0E7A98"/>
    <w:rsid w:val="2C86032A"/>
    <w:rsid w:val="2D5E1ED8"/>
    <w:rsid w:val="2E4D36B1"/>
    <w:rsid w:val="342E1F62"/>
    <w:rsid w:val="3462081D"/>
    <w:rsid w:val="3D4B26AE"/>
    <w:rsid w:val="3EB42776"/>
    <w:rsid w:val="3ECF0E18"/>
    <w:rsid w:val="3F7A2500"/>
    <w:rsid w:val="440D60D4"/>
    <w:rsid w:val="495D5FE6"/>
    <w:rsid w:val="4A8E7C75"/>
    <w:rsid w:val="4AF46894"/>
    <w:rsid w:val="4BF72F56"/>
    <w:rsid w:val="500D0826"/>
    <w:rsid w:val="51510BE7"/>
    <w:rsid w:val="52097713"/>
    <w:rsid w:val="561A36DD"/>
    <w:rsid w:val="598575C7"/>
    <w:rsid w:val="5A7476F4"/>
    <w:rsid w:val="5D142D43"/>
    <w:rsid w:val="629D3C8C"/>
    <w:rsid w:val="67984FF5"/>
    <w:rsid w:val="67E91721"/>
    <w:rsid w:val="6B770722"/>
    <w:rsid w:val="6B787C48"/>
    <w:rsid w:val="6F527D12"/>
    <w:rsid w:val="743B50B2"/>
    <w:rsid w:val="75E74A69"/>
    <w:rsid w:val="76001B34"/>
    <w:rsid w:val="78AA0A59"/>
    <w:rsid w:val="79511727"/>
    <w:rsid w:val="7B902188"/>
    <w:rsid w:val="7CEC1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qFormat/>
    <w:uiPriority w:val="0"/>
    <w:pPr>
      <w:spacing w:after="120" w:afterLines="0" w:afterAutospacing="0"/>
    </w:pPr>
    <w:rPr>
      <w:rFonts w:ascii="等线" w:hAnsi="等线" w:eastAsia="等线" w:cs="Times New Roman"/>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页眉 字符"/>
    <w:basedOn w:val="9"/>
    <w:link w:val="6"/>
    <w:qFormat/>
    <w:uiPriority w:val="0"/>
    <w:rPr>
      <w:rFonts w:asciiTheme="minorHAnsi" w:hAnsiTheme="minorHAnsi" w:eastAsiaTheme="minorEastAsia" w:cstheme="minorBidi"/>
      <w:kern w:val="2"/>
      <w:sz w:val="18"/>
      <w:szCs w:val="18"/>
    </w:rPr>
  </w:style>
  <w:style w:type="character" w:customStyle="1" w:styleId="12">
    <w:name w:val="页脚 字符"/>
    <w:basedOn w:val="9"/>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7309</Words>
  <Characters>7597</Characters>
  <Lines>30</Lines>
  <Paragraphs>8</Paragraphs>
  <TotalTime>1</TotalTime>
  <ScaleCrop>false</ScaleCrop>
  <LinksUpToDate>false</LinksUpToDate>
  <CharactersWithSpaces>7601</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2023-02-15T03:09:00Z</dcterms:created>
  <dc:creator>Lenovo</dc:creator>
  <cp:lastModifiedBy>win01</cp:lastModifiedBy>
  <cp:lastPrinted>2023-06-20T02:40:00Z</cp:lastPrinted>
  <dcterms:modified xsi:type="dcterms:W3CDTF">2024-06-04T01:43:04Z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44CA7420AAD94BBD81C9AEC3ADA26CD9_13</vt:lpwstr>
  </property>
</Properties>
</file>